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2E" w:rsidRPr="00D776B8" w:rsidRDefault="00C7132E" w:rsidP="00C7132E">
      <w:pPr>
        <w:rPr>
          <w:sz w:val="26"/>
          <w:szCs w:val="26"/>
          <w:lang w:val="ru-RU"/>
        </w:rPr>
      </w:pPr>
      <w:r w:rsidRPr="00D776B8">
        <w:rPr>
          <w:sz w:val="26"/>
          <w:szCs w:val="26"/>
          <w:lang w:val="ru-RU"/>
        </w:rPr>
        <w:t xml:space="preserve">                                                                                              </w:t>
      </w:r>
    </w:p>
    <w:p w:rsidR="00172C41" w:rsidRDefault="00172C41" w:rsidP="00172C41">
      <w:pPr>
        <w:spacing w:line="276" w:lineRule="auto"/>
        <w:jc w:val="center"/>
        <w:rPr>
          <w:sz w:val="26"/>
          <w:szCs w:val="26"/>
        </w:rPr>
      </w:pPr>
      <w:r>
        <w:rPr>
          <w:sz w:val="26"/>
          <w:szCs w:val="26"/>
        </w:rPr>
        <w:t xml:space="preserve">Інформація </w:t>
      </w:r>
    </w:p>
    <w:p w:rsidR="003D3AE8" w:rsidRDefault="00172C41" w:rsidP="00172C41">
      <w:pPr>
        <w:spacing w:line="276" w:lineRule="auto"/>
        <w:jc w:val="center"/>
        <w:rPr>
          <w:sz w:val="26"/>
          <w:szCs w:val="26"/>
        </w:rPr>
      </w:pPr>
      <w:r>
        <w:rPr>
          <w:sz w:val="26"/>
          <w:szCs w:val="26"/>
        </w:rPr>
        <w:t xml:space="preserve">щодо </w:t>
      </w:r>
      <w:r w:rsidR="00FD7165">
        <w:rPr>
          <w:sz w:val="26"/>
          <w:szCs w:val="26"/>
        </w:rPr>
        <w:t xml:space="preserve">розгляду </w:t>
      </w:r>
      <w:r>
        <w:rPr>
          <w:sz w:val="26"/>
          <w:szCs w:val="26"/>
        </w:rPr>
        <w:t>п</w:t>
      </w:r>
      <w:r w:rsidR="00962242">
        <w:rPr>
          <w:sz w:val="26"/>
          <w:szCs w:val="26"/>
        </w:rPr>
        <w:t>ротоколу засідання громадської ради при Донецькій облдержадміністрації від 25.11.2016 №6-16</w:t>
      </w:r>
    </w:p>
    <w:p w:rsidR="002C5081" w:rsidRPr="003D3AE8" w:rsidRDefault="003D3AE8" w:rsidP="008F7C98">
      <w:pPr>
        <w:spacing w:before="240" w:line="276" w:lineRule="auto"/>
        <w:ind w:firstLine="709"/>
        <w:jc w:val="both"/>
        <w:rPr>
          <w:sz w:val="26"/>
          <w:szCs w:val="26"/>
        </w:rPr>
      </w:pPr>
      <w:r w:rsidRPr="003D3AE8">
        <w:rPr>
          <w:sz w:val="26"/>
          <w:szCs w:val="26"/>
          <w:u w:val="single"/>
        </w:rPr>
        <w:t>1.</w:t>
      </w:r>
      <w:r>
        <w:rPr>
          <w:sz w:val="26"/>
          <w:szCs w:val="26"/>
          <w:u w:val="single"/>
        </w:rPr>
        <w:t xml:space="preserve"> </w:t>
      </w:r>
      <w:r w:rsidRPr="003D3AE8">
        <w:rPr>
          <w:sz w:val="26"/>
          <w:szCs w:val="26"/>
          <w:u w:val="single"/>
        </w:rPr>
        <w:t>Щ</w:t>
      </w:r>
      <w:r w:rsidR="00E06102" w:rsidRPr="003D3AE8">
        <w:rPr>
          <w:sz w:val="26"/>
          <w:szCs w:val="26"/>
          <w:u w:val="single"/>
        </w:rPr>
        <w:t>о</w:t>
      </w:r>
      <w:r w:rsidRPr="003D3AE8">
        <w:rPr>
          <w:sz w:val="26"/>
          <w:szCs w:val="26"/>
          <w:u w:val="single"/>
        </w:rPr>
        <w:t>до інвестиційних та інфраструктурних проектів.</w:t>
      </w:r>
      <w:r w:rsidR="00E06102" w:rsidRPr="003D3AE8">
        <w:rPr>
          <w:sz w:val="26"/>
          <w:szCs w:val="26"/>
        </w:rPr>
        <w:t xml:space="preserve"> </w:t>
      </w:r>
      <w:r w:rsidRPr="003D3AE8">
        <w:rPr>
          <w:sz w:val="26"/>
          <w:szCs w:val="26"/>
        </w:rPr>
        <w:t>В</w:t>
      </w:r>
      <w:r w:rsidR="00BB6D5B" w:rsidRPr="003D3AE8">
        <w:rPr>
          <w:sz w:val="26"/>
          <w:szCs w:val="26"/>
        </w:rPr>
        <w:t xml:space="preserve">ідповідно </w:t>
      </w:r>
      <w:r w:rsidR="007E1414" w:rsidRPr="003D3AE8">
        <w:rPr>
          <w:sz w:val="26"/>
          <w:szCs w:val="26"/>
        </w:rPr>
        <w:t xml:space="preserve"> до </w:t>
      </w:r>
      <w:r w:rsidR="00BB6D5B" w:rsidRPr="003D3AE8">
        <w:rPr>
          <w:sz w:val="26"/>
          <w:szCs w:val="26"/>
        </w:rPr>
        <w:t>Закону України «Про внесення зміни до підпункту 4 пункту 24 розділу VI «Прикінцеві та перехідні положенн</w:t>
      </w:r>
      <w:r w:rsidR="007E1414" w:rsidRPr="003D3AE8">
        <w:rPr>
          <w:sz w:val="26"/>
          <w:szCs w:val="26"/>
        </w:rPr>
        <w:t>я» Бюджетного кодексу України»</w:t>
      </w:r>
      <w:r w:rsidR="00DF4574" w:rsidRPr="003D3AE8">
        <w:rPr>
          <w:sz w:val="26"/>
          <w:szCs w:val="26"/>
        </w:rPr>
        <w:t xml:space="preserve"> облдерж</w:t>
      </w:r>
      <w:r w:rsidR="00DC60C1" w:rsidRPr="003D3AE8">
        <w:rPr>
          <w:sz w:val="26"/>
          <w:szCs w:val="26"/>
        </w:rPr>
        <w:t>адміністрацією сформований Перелік об’єктів і заходів,</w:t>
      </w:r>
      <w:r w:rsidR="00FD7165" w:rsidRPr="00FD7165">
        <w:rPr>
          <w:sz w:val="28"/>
          <w:szCs w:val="28"/>
        </w:rPr>
        <w:t xml:space="preserve"> </w:t>
      </w:r>
      <w:r w:rsidR="00FD7165" w:rsidRPr="00FD7165">
        <w:rPr>
          <w:sz w:val="26"/>
          <w:szCs w:val="26"/>
        </w:rPr>
        <w:t>що будуть здійснюватися</w:t>
      </w:r>
      <w:r w:rsidR="00DC60C1" w:rsidRPr="003D3AE8">
        <w:rPr>
          <w:sz w:val="26"/>
          <w:szCs w:val="26"/>
        </w:rPr>
        <w:t xml:space="preserve"> </w:t>
      </w:r>
      <w:r w:rsidR="00FD7165" w:rsidRPr="00FD7165">
        <w:rPr>
          <w:sz w:val="26"/>
          <w:szCs w:val="26"/>
        </w:rPr>
        <w:t xml:space="preserve">за рахунок залишків коштів місцевих бюджетів населених пунктів Донецької області, на території яких органи державної влади тимчасово не здійснюють свої повноваження, </w:t>
      </w:r>
      <w:r w:rsidR="00DC60C1" w:rsidRPr="003D3AE8">
        <w:rPr>
          <w:sz w:val="26"/>
          <w:szCs w:val="26"/>
        </w:rPr>
        <w:t xml:space="preserve">який затверджений розпорядженням голови облдержадміністрації, керівника обласної військово-цивільної адміністрації від 04 липня 2016 року № 548 </w:t>
      </w:r>
      <w:r w:rsidR="009527F9" w:rsidRPr="003D3AE8">
        <w:rPr>
          <w:sz w:val="26"/>
          <w:szCs w:val="26"/>
        </w:rPr>
        <w:t xml:space="preserve"> </w:t>
      </w:r>
      <w:r w:rsidR="00DC60C1" w:rsidRPr="003D3AE8">
        <w:rPr>
          <w:sz w:val="26"/>
          <w:szCs w:val="26"/>
        </w:rPr>
        <w:t>(із змінами), та погоджений Комітетом Верховної Ради України з питань бюджету  (протоколи № 62 від 6 липня 2016 року, № 67 від 07 вересня 2016 року</w:t>
      </w:r>
      <w:r w:rsidR="00565F5E">
        <w:rPr>
          <w:sz w:val="26"/>
          <w:szCs w:val="26"/>
        </w:rPr>
        <w:t>, № 81 від 07 грудня 2016 року</w:t>
      </w:r>
      <w:r w:rsidR="00DC60C1" w:rsidRPr="003D3AE8">
        <w:rPr>
          <w:sz w:val="26"/>
          <w:szCs w:val="26"/>
        </w:rPr>
        <w:t xml:space="preserve">). </w:t>
      </w:r>
      <w:r w:rsidR="00BB6D5B" w:rsidRPr="003D3AE8">
        <w:rPr>
          <w:sz w:val="26"/>
          <w:szCs w:val="26"/>
        </w:rPr>
        <w:t xml:space="preserve">Перелік </w:t>
      </w:r>
      <w:r w:rsidR="00875EEE" w:rsidRPr="003D3AE8">
        <w:rPr>
          <w:sz w:val="26"/>
          <w:szCs w:val="26"/>
        </w:rPr>
        <w:t xml:space="preserve">включає в себе </w:t>
      </w:r>
      <w:r w:rsidR="00A369FA" w:rsidRPr="003D3AE8">
        <w:rPr>
          <w:sz w:val="26"/>
          <w:szCs w:val="26"/>
        </w:rPr>
        <w:t>585</w:t>
      </w:r>
      <w:r w:rsidR="007E1414" w:rsidRPr="003D3AE8">
        <w:rPr>
          <w:sz w:val="26"/>
          <w:szCs w:val="26"/>
        </w:rPr>
        <w:t xml:space="preserve"> проектів.</w:t>
      </w:r>
    </w:p>
    <w:p w:rsidR="00C56612" w:rsidRDefault="007E1414" w:rsidP="00501839">
      <w:pPr>
        <w:spacing w:line="276" w:lineRule="auto"/>
        <w:jc w:val="both"/>
        <w:rPr>
          <w:sz w:val="26"/>
          <w:szCs w:val="26"/>
        </w:rPr>
      </w:pPr>
      <w:r>
        <w:rPr>
          <w:sz w:val="26"/>
          <w:szCs w:val="26"/>
        </w:rPr>
        <w:tab/>
        <w:t>Вважаємо за доцільне відмітити, що</w:t>
      </w:r>
      <w:r w:rsidR="00AF1EB7">
        <w:rPr>
          <w:sz w:val="26"/>
          <w:szCs w:val="26"/>
        </w:rPr>
        <w:t xml:space="preserve"> вищезазначений Закон був прийнятий Верховною Радою України 02.06.2016 (№1406-</w:t>
      </w:r>
      <w:r w:rsidR="00AF1EB7">
        <w:rPr>
          <w:sz w:val="26"/>
          <w:szCs w:val="26"/>
          <w:lang w:val="en-US"/>
        </w:rPr>
        <w:t>VIII</w:t>
      </w:r>
      <w:r w:rsidR="00AF1EB7" w:rsidRPr="00AF1EB7">
        <w:rPr>
          <w:sz w:val="26"/>
          <w:szCs w:val="26"/>
          <w:lang w:val="ru-RU"/>
        </w:rPr>
        <w:t>)</w:t>
      </w:r>
      <w:r w:rsidR="00AF1EB7">
        <w:rPr>
          <w:sz w:val="26"/>
          <w:szCs w:val="26"/>
        </w:rPr>
        <w:t xml:space="preserve"> та набрав чинності </w:t>
      </w:r>
      <w:r w:rsidR="00535D56">
        <w:rPr>
          <w:sz w:val="26"/>
          <w:szCs w:val="26"/>
        </w:rPr>
        <w:t>11.06.2016. Р</w:t>
      </w:r>
      <w:r>
        <w:rPr>
          <w:sz w:val="26"/>
          <w:szCs w:val="26"/>
        </w:rPr>
        <w:t>обота по формуванню Переліку</w:t>
      </w:r>
      <w:r w:rsidR="00535D56">
        <w:rPr>
          <w:sz w:val="26"/>
          <w:szCs w:val="26"/>
        </w:rPr>
        <w:t xml:space="preserve"> потребувала значного обсягу часу, так як</w:t>
      </w:r>
      <w:r>
        <w:rPr>
          <w:sz w:val="26"/>
          <w:szCs w:val="26"/>
        </w:rPr>
        <w:t xml:space="preserve"> проходила за участю міст, районів, громадськості, </w:t>
      </w:r>
      <w:r w:rsidRPr="00501839">
        <w:rPr>
          <w:sz w:val="26"/>
          <w:szCs w:val="26"/>
        </w:rPr>
        <w:t xml:space="preserve">пропозицій </w:t>
      </w:r>
      <w:r w:rsidR="00C56612" w:rsidRPr="00501839">
        <w:rPr>
          <w:sz w:val="26"/>
          <w:szCs w:val="26"/>
        </w:rPr>
        <w:t>Народних депутатів України</w:t>
      </w:r>
      <w:r w:rsidRPr="00501839">
        <w:rPr>
          <w:sz w:val="26"/>
          <w:szCs w:val="26"/>
        </w:rPr>
        <w:t xml:space="preserve"> з урахуванням основних потреб відновлення та соціально-</w:t>
      </w:r>
      <w:r w:rsidR="00C56612" w:rsidRPr="00501839">
        <w:rPr>
          <w:sz w:val="26"/>
          <w:szCs w:val="26"/>
        </w:rPr>
        <w:t>економічного</w:t>
      </w:r>
      <w:r w:rsidR="00C56612">
        <w:rPr>
          <w:sz w:val="26"/>
          <w:szCs w:val="26"/>
        </w:rPr>
        <w:t xml:space="preserve"> розвитку територій</w:t>
      </w:r>
      <w:r w:rsidR="00535D56">
        <w:rPr>
          <w:sz w:val="26"/>
          <w:szCs w:val="26"/>
        </w:rPr>
        <w:t>.</w:t>
      </w:r>
    </w:p>
    <w:p w:rsidR="00535D56" w:rsidRDefault="00535D56" w:rsidP="00535D56">
      <w:pPr>
        <w:spacing w:line="276" w:lineRule="auto"/>
        <w:ind w:firstLine="709"/>
        <w:jc w:val="both"/>
        <w:rPr>
          <w:sz w:val="26"/>
          <w:szCs w:val="26"/>
        </w:rPr>
      </w:pPr>
      <w:r>
        <w:rPr>
          <w:sz w:val="26"/>
          <w:szCs w:val="26"/>
        </w:rPr>
        <w:t>Залишки коштів були зараховані Головним управлінням Державної казначейської служби України  у Донецькій області на окремий рахунок спеціального фонду обласного бюджету 21-22 липня 2016 року.</w:t>
      </w:r>
    </w:p>
    <w:p w:rsidR="00FD3AAA" w:rsidRDefault="00565F5E" w:rsidP="00535D56">
      <w:pPr>
        <w:spacing w:line="276" w:lineRule="auto"/>
        <w:ind w:firstLine="709"/>
        <w:jc w:val="both"/>
        <w:rPr>
          <w:sz w:val="26"/>
          <w:szCs w:val="26"/>
        </w:rPr>
      </w:pPr>
      <w:r>
        <w:rPr>
          <w:sz w:val="26"/>
          <w:szCs w:val="26"/>
        </w:rPr>
        <w:t xml:space="preserve">При цьому слід зауважити, що на засіданні громадської ради, яке відбулося 20 серпня 2016 року, тобто менше, ніж через місяць після надходження коштів, робота облдержадміністрації з реалізації інфраструктурних проектів було визнано незадовільною. </w:t>
      </w:r>
    </w:p>
    <w:p w:rsidR="004235BC" w:rsidRDefault="004235BC" w:rsidP="00535D56">
      <w:pPr>
        <w:spacing w:line="276" w:lineRule="auto"/>
        <w:ind w:firstLine="709"/>
        <w:jc w:val="both"/>
        <w:rPr>
          <w:sz w:val="26"/>
          <w:szCs w:val="26"/>
        </w:rPr>
      </w:pPr>
      <w:r w:rsidRPr="004235BC">
        <w:rPr>
          <w:sz w:val="26"/>
          <w:szCs w:val="26"/>
        </w:rPr>
        <w:t>Враховуючи значну плинність кадрів, зміни в законодавстві щодо державних закупівель, навантаження на працівників в зв’язку з безпосередньою реалізацією проектів за рахунок коштів міжнародних донорів та реалізацією заходів за власні кошти, міста та райони приймали рішення про делегування повноважень щодо визначення замовника (замовників) облдержадміністрації, обласній військово-цивільній адміністрації.</w:t>
      </w:r>
    </w:p>
    <w:p w:rsidR="00535D56" w:rsidRDefault="00535D56" w:rsidP="00535D56">
      <w:pPr>
        <w:spacing w:line="276" w:lineRule="auto"/>
        <w:ind w:firstLine="709"/>
        <w:jc w:val="both"/>
        <w:rPr>
          <w:sz w:val="26"/>
          <w:szCs w:val="26"/>
        </w:rPr>
      </w:pPr>
      <w:r>
        <w:rPr>
          <w:sz w:val="26"/>
          <w:szCs w:val="26"/>
        </w:rPr>
        <w:t xml:space="preserve">З метою організації виконання заходів, включених до Переліку, на підставі рішень, прийнятих органами місцевого самоврядування про передачу Донецькій обласній військово-цивільній адміністрації повноважень щодо визначення замовника (замовників) виконання робіт, придбання обладнання, устаткування тощо, було прийнято розпорядження голови облдержадміністрації, керівника обласної військово-цивільної адміністрації від 18 вересня 2016 року №818 «Про організацію </w:t>
      </w:r>
      <w:r w:rsidR="00D878A4">
        <w:rPr>
          <w:sz w:val="26"/>
          <w:szCs w:val="26"/>
        </w:rPr>
        <w:t>реалізації деяких положень розпорядження голови облдержадміністрації, керівника військово-цивільної адміністрації від 04 липня 2016 року №548», згідно якого замовниками визначено відповідні структурні підрозділи облдержадміністрації та Службу автомобільних доріг у Донецькій області.</w:t>
      </w:r>
    </w:p>
    <w:p w:rsidR="005C4896" w:rsidRPr="005C4896" w:rsidRDefault="00643EEC" w:rsidP="00D878A4">
      <w:pPr>
        <w:spacing w:line="276" w:lineRule="auto"/>
        <w:jc w:val="both"/>
        <w:rPr>
          <w:sz w:val="26"/>
          <w:szCs w:val="26"/>
        </w:rPr>
      </w:pPr>
      <w:r>
        <w:rPr>
          <w:sz w:val="26"/>
          <w:szCs w:val="26"/>
        </w:rPr>
        <w:lastRenderedPageBreak/>
        <w:tab/>
      </w:r>
      <w:r w:rsidR="00D878A4">
        <w:rPr>
          <w:sz w:val="26"/>
          <w:szCs w:val="26"/>
        </w:rPr>
        <w:t>В</w:t>
      </w:r>
      <w:r w:rsidR="005C4896" w:rsidRPr="005C4896">
        <w:rPr>
          <w:sz w:val="26"/>
          <w:szCs w:val="26"/>
        </w:rPr>
        <w:t>раховуючи те, що вартість</w:t>
      </w:r>
      <w:r w:rsidR="00D878A4">
        <w:rPr>
          <w:sz w:val="26"/>
          <w:szCs w:val="26"/>
        </w:rPr>
        <w:t xml:space="preserve"> переважної</w:t>
      </w:r>
      <w:r w:rsidR="005C4896" w:rsidRPr="005C4896">
        <w:rPr>
          <w:sz w:val="26"/>
          <w:szCs w:val="26"/>
        </w:rPr>
        <w:t xml:space="preserve"> більшості</w:t>
      </w:r>
      <w:r w:rsidR="00D878A4">
        <w:rPr>
          <w:sz w:val="26"/>
          <w:szCs w:val="26"/>
        </w:rPr>
        <w:t xml:space="preserve"> заходів Переліку</w:t>
      </w:r>
      <w:r w:rsidR="005C4896" w:rsidRPr="005C4896">
        <w:rPr>
          <w:sz w:val="26"/>
          <w:szCs w:val="26"/>
        </w:rPr>
        <w:t xml:space="preserve"> </w:t>
      </w:r>
      <w:r w:rsidR="00D878A4">
        <w:rPr>
          <w:sz w:val="26"/>
          <w:szCs w:val="26"/>
        </w:rPr>
        <w:t xml:space="preserve">перевищує розміри допорогових закупівель, визначених </w:t>
      </w:r>
      <w:r w:rsidR="005C4896" w:rsidRPr="005C4896">
        <w:rPr>
          <w:sz w:val="26"/>
          <w:szCs w:val="26"/>
        </w:rPr>
        <w:t>ст. 10 Закону України «Про публічні закупівлі» (товари та послуги – до 200 тис гр</w:t>
      </w:r>
      <w:r w:rsidR="005C4896">
        <w:rPr>
          <w:sz w:val="26"/>
          <w:szCs w:val="26"/>
        </w:rPr>
        <w:t xml:space="preserve">н.; роботи – до 1500 тис. грн.), </w:t>
      </w:r>
      <w:r w:rsidR="005C4896" w:rsidRPr="005C4896">
        <w:rPr>
          <w:sz w:val="26"/>
          <w:szCs w:val="26"/>
        </w:rPr>
        <w:t>з урахуванням роботи електронної системи публічних закупівель «</w:t>
      </w:r>
      <w:proofErr w:type="spellStart"/>
      <w:r w:rsidR="005C4896" w:rsidRPr="005C4896">
        <w:rPr>
          <w:sz w:val="26"/>
          <w:szCs w:val="26"/>
          <w:lang w:val="en-US"/>
        </w:rPr>
        <w:t>Prozorro</w:t>
      </w:r>
      <w:proofErr w:type="spellEnd"/>
      <w:r w:rsidR="005C4896" w:rsidRPr="005C4896">
        <w:rPr>
          <w:sz w:val="26"/>
          <w:szCs w:val="26"/>
        </w:rPr>
        <w:t>», мінімальний  період проведення процедури закупівлі (відкриті торги) складає</w:t>
      </w:r>
      <w:r w:rsidR="00D878A4">
        <w:rPr>
          <w:sz w:val="26"/>
          <w:szCs w:val="26"/>
        </w:rPr>
        <w:t xml:space="preserve"> від </w:t>
      </w:r>
      <w:r w:rsidR="005C4896" w:rsidRPr="005C4896">
        <w:rPr>
          <w:sz w:val="26"/>
          <w:szCs w:val="26"/>
        </w:rPr>
        <w:t>30</w:t>
      </w:r>
      <w:r w:rsidR="00D878A4">
        <w:rPr>
          <w:sz w:val="26"/>
          <w:szCs w:val="26"/>
        </w:rPr>
        <w:t xml:space="preserve"> до 60</w:t>
      </w:r>
      <w:r w:rsidR="005C4896" w:rsidRPr="005C4896">
        <w:rPr>
          <w:sz w:val="26"/>
          <w:szCs w:val="26"/>
        </w:rPr>
        <w:t xml:space="preserve"> робочих днів</w:t>
      </w:r>
      <w:r w:rsidR="00D878A4">
        <w:rPr>
          <w:sz w:val="26"/>
          <w:szCs w:val="26"/>
        </w:rPr>
        <w:t>.</w:t>
      </w:r>
    </w:p>
    <w:p w:rsidR="005C4896" w:rsidRDefault="00D878A4" w:rsidP="00501839">
      <w:pPr>
        <w:spacing w:line="276" w:lineRule="auto"/>
        <w:ind w:firstLine="708"/>
        <w:jc w:val="both"/>
        <w:rPr>
          <w:sz w:val="26"/>
          <w:szCs w:val="26"/>
        </w:rPr>
      </w:pPr>
      <w:r>
        <w:rPr>
          <w:sz w:val="26"/>
          <w:szCs w:val="26"/>
        </w:rPr>
        <w:t>Поряд з цим слід зауважити</w:t>
      </w:r>
      <w:r w:rsidR="005C4896" w:rsidRPr="005C4896">
        <w:rPr>
          <w:sz w:val="26"/>
          <w:szCs w:val="26"/>
        </w:rPr>
        <w:t>,</w:t>
      </w:r>
      <w:r>
        <w:rPr>
          <w:sz w:val="26"/>
          <w:szCs w:val="26"/>
        </w:rPr>
        <w:t xml:space="preserve"> що</w:t>
      </w:r>
      <w:r w:rsidR="005C4896" w:rsidRPr="005C4896">
        <w:rPr>
          <w:sz w:val="26"/>
          <w:szCs w:val="26"/>
        </w:rPr>
        <w:t xml:space="preserve"> місцезнаходження інфраструктурних</w:t>
      </w:r>
      <w:r w:rsidR="005C4896">
        <w:rPr>
          <w:sz w:val="26"/>
          <w:szCs w:val="26"/>
        </w:rPr>
        <w:t xml:space="preserve"> об’єктів </w:t>
      </w:r>
      <w:r>
        <w:rPr>
          <w:sz w:val="26"/>
          <w:szCs w:val="26"/>
        </w:rPr>
        <w:t xml:space="preserve">на території області де відбувається постійна активізація </w:t>
      </w:r>
      <w:r w:rsidR="005C4896">
        <w:rPr>
          <w:sz w:val="26"/>
          <w:szCs w:val="26"/>
        </w:rPr>
        <w:t>збройного</w:t>
      </w:r>
      <w:r w:rsidR="005C4896" w:rsidRPr="005C4896">
        <w:rPr>
          <w:sz w:val="26"/>
          <w:szCs w:val="26"/>
        </w:rPr>
        <w:t xml:space="preserve"> конфлікту є причиною низького рівня участі представників інших регіонів країни, що призводить до</w:t>
      </w:r>
      <w:r w:rsidR="00501839">
        <w:rPr>
          <w:sz w:val="26"/>
          <w:szCs w:val="26"/>
        </w:rPr>
        <w:t xml:space="preserve"> низької активності</w:t>
      </w:r>
      <w:r w:rsidR="005C4896" w:rsidRPr="005C4896">
        <w:rPr>
          <w:sz w:val="26"/>
          <w:szCs w:val="26"/>
        </w:rPr>
        <w:t xml:space="preserve"> пропозицій під час проведення процедури закупівлі та відміни торгів або визнання такими, що не відбулися. З</w:t>
      </w:r>
      <w:r w:rsidR="0049353E">
        <w:rPr>
          <w:sz w:val="26"/>
          <w:szCs w:val="26"/>
        </w:rPr>
        <w:t>акупівлю</w:t>
      </w:r>
      <w:r w:rsidR="005C4896">
        <w:rPr>
          <w:sz w:val="26"/>
          <w:szCs w:val="26"/>
        </w:rPr>
        <w:t xml:space="preserve"> </w:t>
      </w:r>
      <w:r w:rsidR="0049353E" w:rsidRPr="005C4896">
        <w:rPr>
          <w:sz w:val="26"/>
          <w:szCs w:val="26"/>
        </w:rPr>
        <w:t>відповідно до вимог законодавства</w:t>
      </w:r>
      <w:r w:rsidR="0049353E">
        <w:rPr>
          <w:sz w:val="26"/>
          <w:szCs w:val="26"/>
        </w:rPr>
        <w:t xml:space="preserve"> в такому випадку  необхідно </w:t>
      </w:r>
      <w:r w:rsidR="005C4896">
        <w:rPr>
          <w:sz w:val="26"/>
          <w:szCs w:val="26"/>
        </w:rPr>
        <w:t xml:space="preserve"> проводи</w:t>
      </w:r>
      <w:r w:rsidR="0049353E">
        <w:rPr>
          <w:sz w:val="26"/>
          <w:szCs w:val="26"/>
        </w:rPr>
        <w:t>ти вдруге</w:t>
      </w:r>
      <w:r>
        <w:rPr>
          <w:sz w:val="26"/>
          <w:szCs w:val="26"/>
        </w:rPr>
        <w:t>, а в деяких випадках і втретє</w:t>
      </w:r>
      <w:r w:rsidR="0049353E">
        <w:rPr>
          <w:sz w:val="26"/>
          <w:szCs w:val="26"/>
        </w:rPr>
        <w:t>.</w:t>
      </w:r>
    </w:p>
    <w:p w:rsidR="00D878A4" w:rsidRDefault="00D878A4" w:rsidP="00501839">
      <w:pPr>
        <w:spacing w:line="276" w:lineRule="auto"/>
        <w:ind w:firstLine="708"/>
        <w:jc w:val="both"/>
        <w:rPr>
          <w:sz w:val="26"/>
          <w:szCs w:val="26"/>
        </w:rPr>
      </w:pPr>
      <w:r>
        <w:rPr>
          <w:sz w:val="26"/>
          <w:szCs w:val="26"/>
        </w:rPr>
        <w:t>Наприклад, чотири закупівлі департаменту капітального будівництва Донецької ОДА були відмінені через подання для участі в торгах менше двох тендерних пропозицій.</w:t>
      </w:r>
    </w:p>
    <w:p w:rsidR="00F45363" w:rsidRDefault="00F45363" w:rsidP="00501839">
      <w:pPr>
        <w:spacing w:line="276" w:lineRule="auto"/>
        <w:ind w:firstLine="708"/>
        <w:jc w:val="both"/>
        <w:rPr>
          <w:sz w:val="26"/>
          <w:szCs w:val="26"/>
        </w:rPr>
      </w:pPr>
      <w:r>
        <w:rPr>
          <w:sz w:val="26"/>
          <w:szCs w:val="26"/>
        </w:rPr>
        <w:t xml:space="preserve">При цьому чотири рази вищезазначений департамент був вимушений проводити закупівлю робіт за заходом «Реконструкція системи опалення загальноосвітньої школи І-ІІІ ступенів №3 м. </w:t>
      </w:r>
      <w:proofErr w:type="spellStart"/>
      <w:r>
        <w:rPr>
          <w:sz w:val="26"/>
          <w:szCs w:val="26"/>
        </w:rPr>
        <w:t>Вугледар</w:t>
      </w:r>
      <w:proofErr w:type="spellEnd"/>
      <w:r>
        <w:rPr>
          <w:sz w:val="26"/>
          <w:szCs w:val="26"/>
        </w:rPr>
        <w:t xml:space="preserve">». А також тричі – за заходом «Капітальний ремонт будівель ЗОШ І-ІІІ ступенів, розташованих в </w:t>
      </w:r>
      <w:proofErr w:type="spellStart"/>
      <w:r>
        <w:rPr>
          <w:sz w:val="26"/>
          <w:szCs w:val="26"/>
        </w:rPr>
        <w:t>с.Октябрське</w:t>
      </w:r>
      <w:proofErr w:type="spellEnd"/>
      <w:r>
        <w:rPr>
          <w:sz w:val="26"/>
          <w:szCs w:val="26"/>
        </w:rPr>
        <w:t xml:space="preserve"> по вул. Шкільна. 1а </w:t>
      </w:r>
      <w:proofErr w:type="spellStart"/>
      <w:r>
        <w:rPr>
          <w:sz w:val="26"/>
          <w:szCs w:val="26"/>
        </w:rPr>
        <w:t>Добропільського</w:t>
      </w:r>
      <w:proofErr w:type="spellEnd"/>
      <w:r>
        <w:rPr>
          <w:sz w:val="26"/>
          <w:szCs w:val="26"/>
        </w:rPr>
        <w:t xml:space="preserve"> району». Процедура триває. З</w:t>
      </w:r>
      <w:r w:rsidR="00FD7165">
        <w:rPr>
          <w:sz w:val="26"/>
          <w:szCs w:val="26"/>
        </w:rPr>
        <w:t xml:space="preserve">і 130 закупівель </w:t>
      </w:r>
      <w:r>
        <w:rPr>
          <w:sz w:val="26"/>
          <w:szCs w:val="26"/>
        </w:rPr>
        <w:t xml:space="preserve">департаменту </w:t>
      </w:r>
      <w:r w:rsidR="00FD7165">
        <w:rPr>
          <w:sz w:val="26"/>
          <w:szCs w:val="26"/>
        </w:rPr>
        <w:t xml:space="preserve">38 (29%) </w:t>
      </w:r>
      <w:r>
        <w:rPr>
          <w:sz w:val="26"/>
          <w:szCs w:val="26"/>
        </w:rPr>
        <w:t>потребувал</w:t>
      </w:r>
      <w:r w:rsidR="00FD7165">
        <w:rPr>
          <w:sz w:val="26"/>
          <w:szCs w:val="26"/>
        </w:rPr>
        <w:t>и</w:t>
      </w:r>
      <w:r>
        <w:rPr>
          <w:sz w:val="26"/>
          <w:szCs w:val="26"/>
        </w:rPr>
        <w:t xml:space="preserve"> багаторазового проведення торгів.</w:t>
      </w:r>
    </w:p>
    <w:p w:rsidR="00D878A4" w:rsidRDefault="00F45363" w:rsidP="00501839">
      <w:pPr>
        <w:spacing w:line="276" w:lineRule="auto"/>
        <w:ind w:firstLine="708"/>
        <w:jc w:val="both"/>
        <w:rPr>
          <w:sz w:val="26"/>
          <w:szCs w:val="26"/>
        </w:rPr>
      </w:pPr>
      <w:r>
        <w:rPr>
          <w:sz w:val="26"/>
          <w:szCs w:val="26"/>
        </w:rPr>
        <w:t xml:space="preserve">Подібна ситуація спостерігається в Службі автомобільних доріг </w:t>
      </w:r>
      <w:r w:rsidR="00926EE0">
        <w:rPr>
          <w:sz w:val="26"/>
          <w:szCs w:val="26"/>
        </w:rPr>
        <w:t xml:space="preserve">у </w:t>
      </w:r>
      <w:r>
        <w:rPr>
          <w:sz w:val="26"/>
          <w:szCs w:val="26"/>
        </w:rPr>
        <w:t>Донецьк</w:t>
      </w:r>
      <w:r w:rsidR="00926EE0">
        <w:rPr>
          <w:sz w:val="26"/>
          <w:szCs w:val="26"/>
        </w:rPr>
        <w:t>ій</w:t>
      </w:r>
      <w:r>
        <w:rPr>
          <w:sz w:val="26"/>
          <w:szCs w:val="26"/>
        </w:rPr>
        <w:t xml:space="preserve"> області. Одинадцять закупівель Служби відмінено через відсутність тендерних пропозиція, 7 закупівель довелось проводити двічі. </w:t>
      </w:r>
    </w:p>
    <w:p w:rsidR="00F45363" w:rsidRPr="005C4896" w:rsidRDefault="00F45363" w:rsidP="00501839">
      <w:pPr>
        <w:spacing w:line="276" w:lineRule="auto"/>
        <w:ind w:firstLine="708"/>
        <w:jc w:val="both"/>
        <w:rPr>
          <w:sz w:val="26"/>
          <w:szCs w:val="26"/>
        </w:rPr>
      </w:pPr>
      <w:r>
        <w:rPr>
          <w:sz w:val="26"/>
          <w:szCs w:val="26"/>
        </w:rPr>
        <w:t>Поряд з цим, реалізація значної кількості заходів передбачає проведення будівельних робіт, які мають сезонний характер і вимагають наявності певних погодних умов.</w:t>
      </w:r>
    </w:p>
    <w:p w:rsidR="00BE20CA" w:rsidRPr="00BE20CA" w:rsidRDefault="005C4896" w:rsidP="00501839">
      <w:pPr>
        <w:spacing w:line="276" w:lineRule="auto"/>
        <w:ind w:firstLine="708"/>
        <w:jc w:val="both"/>
        <w:rPr>
          <w:sz w:val="26"/>
          <w:szCs w:val="26"/>
        </w:rPr>
      </w:pPr>
      <w:r>
        <w:rPr>
          <w:sz w:val="26"/>
          <w:szCs w:val="26"/>
        </w:rPr>
        <w:t>Між тим, із</w:t>
      </w:r>
      <w:r w:rsidR="00A369FA">
        <w:rPr>
          <w:sz w:val="26"/>
          <w:szCs w:val="26"/>
        </w:rPr>
        <w:t xml:space="preserve"> 5</w:t>
      </w:r>
      <w:r w:rsidR="00A369FA" w:rsidRPr="00A369FA">
        <w:rPr>
          <w:sz w:val="26"/>
          <w:szCs w:val="26"/>
          <w:lang w:val="ru-RU"/>
        </w:rPr>
        <w:t>85</w:t>
      </w:r>
      <w:r w:rsidR="0049353E">
        <w:rPr>
          <w:sz w:val="26"/>
          <w:szCs w:val="26"/>
        </w:rPr>
        <w:t xml:space="preserve"> проектів вже</w:t>
      </w:r>
      <w:r>
        <w:rPr>
          <w:sz w:val="26"/>
          <w:szCs w:val="26"/>
        </w:rPr>
        <w:t xml:space="preserve"> </w:t>
      </w:r>
      <w:r w:rsidRPr="005C4896">
        <w:rPr>
          <w:sz w:val="26"/>
          <w:szCs w:val="26"/>
        </w:rPr>
        <w:t xml:space="preserve"> розпочато реалізацію </w:t>
      </w:r>
      <w:r w:rsidR="00A369FA" w:rsidRPr="00F45363">
        <w:rPr>
          <w:sz w:val="26"/>
          <w:szCs w:val="26"/>
          <w:lang w:val="ru-RU"/>
        </w:rPr>
        <w:t>3</w:t>
      </w:r>
      <w:r w:rsidRPr="005C4896">
        <w:rPr>
          <w:sz w:val="26"/>
          <w:szCs w:val="26"/>
        </w:rPr>
        <w:t>40 проектів на загальну суму 1</w:t>
      </w:r>
      <w:r w:rsidR="00DD7FD3">
        <w:rPr>
          <w:sz w:val="26"/>
          <w:szCs w:val="26"/>
        </w:rPr>
        <w:t> </w:t>
      </w:r>
      <w:r w:rsidR="00A369FA" w:rsidRPr="00F45363">
        <w:rPr>
          <w:sz w:val="26"/>
          <w:szCs w:val="26"/>
          <w:lang w:val="ru-RU"/>
        </w:rPr>
        <w:t>809</w:t>
      </w:r>
      <w:r w:rsidR="00DD7FD3">
        <w:rPr>
          <w:sz w:val="26"/>
          <w:szCs w:val="26"/>
        </w:rPr>
        <w:t xml:space="preserve"> </w:t>
      </w:r>
      <w:r w:rsidR="00A369FA" w:rsidRPr="00F45363">
        <w:rPr>
          <w:sz w:val="26"/>
          <w:szCs w:val="26"/>
          <w:lang w:val="ru-RU"/>
        </w:rPr>
        <w:t>138</w:t>
      </w:r>
      <w:r w:rsidR="00DD7FD3">
        <w:rPr>
          <w:sz w:val="26"/>
          <w:szCs w:val="26"/>
        </w:rPr>
        <w:t>,</w:t>
      </w:r>
      <w:r w:rsidR="00A369FA" w:rsidRPr="00F45363">
        <w:rPr>
          <w:sz w:val="26"/>
          <w:szCs w:val="26"/>
          <w:lang w:val="ru-RU"/>
        </w:rPr>
        <w:t>2</w:t>
      </w:r>
      <w:r w:rsidR="00DD7FD3">
        <w:rPr>
          <w:sz w:val="26"/>
          <w:szCs w:val="26"/>
        </w:rPr>
        <w:t>0</w:t>
      </w:r>
      <w:r w:rsidRPr="005C4896">
        <w:rPr>
          <w:sz w:val="26"/>
          <w:szCs w:val="26"/>
        </w:rPr>
        <w:t xml:space="preserve">  тис. грн.</w:t>
      </w:r>
      <w:r w:rsidR="00501839">
        <w:rPr>
          <w:sz w:val="26"/>
          <w:szCs w:val="26"/>
        </w:rPr>
        <w:t>, в</w:t>
      </w:r>
      <w:r w:rsidR="00DD7FD3">
        <w:rPr>
          <w:sz w:val="26"/>
          <w:szCs w:val="26"/>
        </w:rPr>
        <w:t xml:space="preserve"> тому числі</w:t>
      </w:r>
      <w:r w:rsidR="00BE20CA" w:rsidRPr="00BE20CA">
        <w:rPr>
          <w:sz w:val="26"/>
          <w:szCs w:val="26"/>
        </w:rPr>
        <w:t>:</w:t>
      </w:r>
    </w:p>
    <w:p w:rsidR="00BE20CA" w:rsidRPr="00BE20CA" w:rsidRDefault="00BE20CA" w:rsidP="00501839">
      <w:pPr>
        <w:numPr>
          <w:ilvl w:val="0"/>
          <w:numId w:val="3"/>
        </w:numPr>
        <w:spacing w:line="276" w:lineRule="auto"/>
        <w:jc w:val="both"/>
        <w:rPr>
          <w:sz w:val="26"/>
          <w:szCs w:val="26"/>
        </w:rPr>
      </w:pPr>
      <w:r w:rsidRPr="00BE20CA">
        <w:rPr>
          <w:sz w:val="26"/>
          <w:szCs w:val="26"/>
        </w:rPr>
        <w:t>5</w:t>
      </w:r>
      <w:r w:rsidR="00C01BAB" w:rsidRPr="00C01BAB">
        <w:rPr>
          <w:sz w:val="26"/>
          <w:szCs w:val="26"/>
          <w:lang w:val="ru-RU"/>
        </w:rPr>
        <w:t>7</w:t>
      </w:r>
      <w:r w:rsidRPr="00BE20CA">
        <w:rPr>
          <w:sz w:val="26"/>
          <w:szCs w:val="26"/>
        </w:rPr>
        <w:t xml:space="preserve"> проект</w:t>
      </w:r>
      <w:r w:rsidR="00F45363">
        <w:rPr>
          <w:sz w:val="26"/>
          <w:szCs w:val="26"/>
        </w:rPr>
        <w:t>ів</w:t>
      </w:r>
      <w:r w:rsidRPr="00BE20CA">
        <w:rPr>
          <w:sz w:val="26"/>
          <w:szCs w:val="26"/>
        </w:rPr>
        <w:t xml:space="preserve"> з реконструкції та капітальних ремонтів загальноосвітніх шкіл на загальну суму </w:t>
      </w:r>
      <w:r w:rsidR="00C01BAB" w:rsidRPr="00C01BAB">
        <w:rPr>
          <w:sz w:val="26"/>
          <w:szCs w:val="26"/>
          <w:lang w:val="ru-RU"/>
        </w:rPr>
        <w:t>551</w:t>
      </w:r>
      <w:r w:rsidRPr="00BE20CA">
        <w:rPr>
          <w:sz w:val="26"/>
          <w:szCs w:val="26"/>
        </w:rPr>
        <w:t xml:space="preserve"> </w:t>
      </w:r>
      <w:r w:rsidR="00C01BAB" w:rsidRPr="00C01BAB">
        <w:rPr>
          <w:sz w:val="26"/>
          <w:szCs w:val="26"/>
          <w:lang w:val="ru-RU"/>
        </w:rPr>
        <w:t>270</w:t>
      </w:r>
      <w:r w:rsidR="00C01BAB">
        <w:rPr>
          <w:sz w:val="26"/>
          <w:szCs w:val="26"/>
        </w:rPr>
        <w:t>,</w:t>
      </w:r>
      <w:r w:rsidR="00C01BAB" w:rsidRPr="00C01BAB">
        <w:rPr>
          <w:sz w:val="26"/>
          <w:szCs w:val="26"/>
          <w:lang w:val="ru-RU"/>
        </w:rPr>
        <w:t>5</w:t>
      </w:r>
      <w:proofErr w:type="spellStart"/>
      <w:r w:rsidRPr="00BE20CA">
        <w:rPr>
          <w:sz w:val="26"/>
          <w:szCs w:val="26"/>
        </w:rPr>
        <w:t> тис.гр</w:t>
      </w:r>
      <w:proofErr w:type="spellEnd"/>
      <w:r w:rsidRPr="00BE20CA">
        <w:rPr>
          <w:sz w:val="26"/>
          <w:szCs w:val="26"/>
        </w:rPr>
        <w:t>н.;</w:t>
      </w:r>
    </w:p>
    <w:p w:rsidR="00BE20CA" w:rsidRPr="00BE20CA" w:rsidRDefault="00C01BAB" w:rsidP="00501839">
      <w:pPr>
        <w:numPr>
          <w:ilvl w:val="0"/>
          <w:numId w:val="3"/>
        </w:numPr>
        <w:spacing w:line="276" w:lineRule="auto"/>
        <w:jc w:val="both"/>
        <w:rPr>
          <w:sz w:val="26"/>
          <w:szCs w:val="26"/>
        </w:rPr>
      </w:pPr>
      <w:r w:rsidRPr="00C01BAB">
        <w:rPr>
          <w:sz w:val="26"/>
          <w:szCs w:val="26"/>
          <w:lang w:val="ru-RU"/>
        </w:rPr>
        <w:t>1</w:t>
      </w:r>
      <w:r w:rsidR="00BE20CA" w:rsidRPr="00BE20CA">
        <w:rPr>
          <w:sz w:val="26"/>
          <w:szCs w:val="26"/>
        </w:rPr>
        <w:t>2 проект</w:t>
      </w:r>
      <w:r w:rsidR="00F45363">
        <w:rPr>
          <w:sz w:val="26"/>
          <w:szCs w:val="26"/>
        </w:rPr>
        <w:t>ів</w:t>
      </w:r>
      <w:r w:rsidR="00BE20CA" w:rsidRPr="00BE20CA">
        <w:rPr>
          <w:sz w:val="26"/>
          <w:szCs w:val="26"/>
        </w:rPr>
        <w:t xml:space="preserve"> з реконструкції та капітальних ремонтів дошкільних навчальних закладів на загальну суму </w:t>
      </w:r>
      <w:r w:rsidRPr="00C01BAB">
        <w:rPr>
          <w:sz w:val="26"/>
          <w:szCs w:val="26"/>
          <w:lang w:val="ru-RU"/>
        </w:rPr>
        <w:t>23</w:t>
      </w:r>
      <w:r w:rsidR="00D978F5">
        <w:rPr>
          <w:sz w:val="26"/>
          <w:szCs w:val="26"/>
        </w:rPr>
        <w:t> 0</w:t>
      </w:r>
      <w:r w:rsidRPr="00C01BAB">
        <w:rPr>
          <w:sz w:val="26"/>
          <w:szCs w:val="26"/>
          <w:lang w:val="ru-RU"/>
        </w:rPr>
        <w:t>92</w:t>
      </w:r>
      <w:r>
        <w:rPr>
          <w:sz w:val="26"/>
          <w:szCs w:val="26"/>
        </w:rPr>
        <w:t>,</w:t>
      </w:r>
      <w:r w:rsidRPr="00C01BAB">
        <w:rPr>
          <w:sz w:val="26"/>
          <w:szCs w:val="26"/>
          <w:lang w:val="ru-RU"/>
        </w:rPr>
        <w:t>3</w:t>
      </w:r>
      <w:r w:rsidR="00BE20CA" w:rsidRPr="00BE20CA">
        <w:rPr>
          <w:sz w:val="26"/>
          <w:szCs w:val="26"/>
        </w:rPr>
        <w:t xml:space="preserve"> </w:t>
      </w:r>
      <w:proofErr w:type="spellStart"/>
      <w:r w:rsidR="00BE20CA" w:rsidRPr="00BE20CA">
        <w:rPr>
          <w:sz w:val="26"/>
          <w:szCs w:val="26"/>
        </w:rPr>
        <w:t>тис</w:t>
      </w:r>
      <w:proofErr w:type="gramStart"/>
      <w:r w:rsidR="00BE20CA" w:rsidRPr="00BE20CA">
        <w:rPr>
          <w:sz w:val="26"/>
          <w:szCs w:val="26"/>
        </w:rPr>
        <w:t>.г</w:t>
      </w:r>
      <w:proofErr w:type="gramEnd"/>
      <w:r w:rsidR="00BE20CA" w:rsidRPr="00BE20CA">
        <w:rPr>
          <w:sz w:val="26"/>
          <w:szCs w:val="26"/>
        </w:rPr>
        <w:t>рн</w:t>
      </w:r>
      <w:proofErr w:type="spellEnd"/>
      <w:r w:rsidR="00BE20CA" w:rsidRPr="00BE20CA">
        <w:rPr>
          <w:sz w:val="26"/>
          <w:szCs w:val="26"/>
        </w:rPr>
        <w:t>.;</w:t>
      </w:r>
    </w:p>
    <w:p w:rsidR="00BE20CA" w:rsidRPr="00BE20CA" w:rsidRDefault="00C01BAB" w:rsidP="00501839">
      <w:pPr>
        <w:numPr>
          <w:ilvl w:val="0"/>
          <w:numId w:val="3"/>
        </w:numPr>
        <w:spacing w:line="276" w:lineRule="auto"/>
        <w:jc w:val="both"/>
        <w:rPr>
          <w:sz w:val="26"/>
          <w:szCs w:val="26"/>
        </w:rPr>
      </w:pPr>
      <w:r w:rsidRPr="00C01BAB">
        <w:rPr>
          <w:sz w:val="26"/>
          <w:szCs w:val="26"/>
          <w:lang w:val="ru-RU"/>
        </w:rPr>
        <w:t>47</w:t>
      </w:r>
      <w:r w:rsidR="00BE20CA" w:rsidRPr="00BE20CA">
        <w:rPr>
          <w:sz w:val="26"/>
          <w:szCs w:val="26"/>
        </w:rPr>
        <w:t xml:space="preserve"> проектів з ремонту та реконструкції закладів охорони здоров’я на суму 1</w:t>
      </w:r>
      <w:r w:rsidRPr="00C01BAB">
        <w:rPr>
          <w:sz w:val="26"/>
          <w:szCs w:val="26"/>
          <w:lang w:val="ru-RU"/>
        </w:rPr>
        <w:t>75</w:t>
      </w:r>
      <w:r w:rsidR="00BE20CA" w:rsidRPr="00BE20CA">
        <w:rPr>
          <w:sz w:val="26"/>
          <w:szCs w:val="26"/>
        </w:rPr>
        <w:t> </w:t>
      </w:r>
      <w:r w:rsidRPr="00C01BAB">
        <w:rPr>
          <w:sz w:val="26"/>
          <w:szCs w:val="26"/>
          <w:lang w:val="ru-RU"/>
        </w:rPr>
        <w:t>494</w:t>
      </w:r>
      <w:r>
        <w:rPr>
          <w:sz w:val="26"/>
          <w:szCs w:val="26"/>
        </w:rPr>
        <w:t>,</w:t>
      </w:r>
      <w:r w:rsidRPr="00C01BAB">
        <w:rPr>
          <w:sz w:val="26"/>
          <w:szCs w:val="26"/>
          <w:lang w:val="ru-RU"/>
        </w:rPr>
        <w:t>5</w:t>
      </w:r>
      <w:proofErr w:type="spellStart"/>
      <w:r w:rsidR="00BE20CA" w:rsidRPr="00BE20CA">
        <w:rPr>
          <w:sz w:val="26"/>
          <w:szCs w:val="26"/>
        </w:rPr>
        <w:t> тис</w:t>
      </w:r>
      <w:proofErr w:type="gramStart"/>
      <w:r w:rsidR="00BE20CA" w:rsidRPr="00BE20CA">
        <w:rPr>
          <w:sz w:val="26"/>
          <w:szCs w:val="26"/>
        </w:rPr>
        <w:t>.г</w:t>
      </w:r>
      <w:proofErr w:type="gramEnd"/>
      <w:r w:rsidR="00BE20CA" w:rsidRPr="00BE20CA">
        <w:rPr>
          <w:sz w:val="26"/>
          <w:szCs w:val="26"/>
        </w:rPr>
        <w:t>р</w:t>
      </w:r>
      <w:proofErr w:type="spellEnd"/>
      <w:r w:rsidR="00BE20CA" w:rsidRPr="00BE20CA">
        <w:rPr>
          <w:sz w:val="26"/>
          <w:szCs w:val="26"/>
        </w:rPr>
        <w:t>н.;</w:t>
      </w:r>
    </w:p>
    <w:p w:rsidR="00BE20CA" w:rsidRPr="00BE20CA" w:rsidRDefault="00C01BAB" w:rsidP="00501839">
      <w:pPr>
        <w:numPr>
          <w:ilvl w:val="0"/>
          <w:numId w:val="3"/>
        </w:numPr>
        <w:spacing w:line="276" w:lineRule="auto"/>
        <w:jc w:val="both"/>
        <w:rPr>
          <w:sz w:val="26"/>
          <w:szCs w:val="26"/>
        </w:rPr>
      </w:pPr>
      <w:r>
        <w:rPr>
          <w:sz w:val="26"/>
          <w:szCs w:val="26"/>
        </w:rPr>
        <w:t>6</w:t>
      </w:r>
      <w:r w:rsidRPr="00C01BAB">
        <w:rPr>
          <w:sz w:val="26"/>
          <w:szCs w:val="26"/>
          <w:lang w:val="ru-RU"/>
        </w:rPr>
        <w:t>7</w:t>
      </w:r>
      <w:r w:rsidR="00BE20CA" w:rsidRPr="00BE20CA">
        <w:rPr>
          <w:sz w:val="26"/>
          <w:szCs w:val="26"/>
        </w:rPr>
        <w:t xml:space="preserve"> проектів з капітального ремонту доріг на суму 2</w:t>
      </w:r>
      <w:r w:rsidRPr="00C01BAB">
        <w:rPr>
          <w:sz w:val="26"/>
          <w:szCs w:val="26"/>
          <w:lang w:val="ru-RU"/>
        </w:rPr>
        <w:t>76</w:t>
      </w:r>
      <w:r w:rsidR="00BE20CA" w:rsidRPr="00BE20CA">
        <w:rPr>
          <w:sz w:val="26"/>
          <w:szCs w:val="26"/>
        </w:rPr>
        <w:t> </w:t>
      </w:r>
      <w:r w:rsidRPr="00C01BAB">
        <w:rPr>
          <w:sz w:val="26"/>
          <w:szCs w:val="26"/>
          <w:lang w:val="ru-RU"/>
        </w:rPr>
        <w:t>422</w:t>
      </w:r>
      <w:r>
        <w:rPr>
          <w:sz w:val="26"/>
          <w:szCs w:val="26"/>
        </w:rPr>
        <w:t>,</w:t>
      </w:r>
      <w:r w:rsidRPr="00C01BAB">
        <w:rPr>
          <w:sz w:val="26"/>
          <w:szCs w:val="26"/>
          <w:lang w:val="ru-RU"/>
        </w:rPr>
        <w:t>2</w:t>
      </w:r>
      <w:proofErr w:type="spellStart"/>
      <w:r w:rsidR="00BE20CA" w:rsidRPr="00BE20CA">
        <w:rPr>
          <w:sz w:val="26"/>
          <w:szCs w:val="26"/>
        </w:rPr>
        <w:t> тис.гр</w:t>
      </w:r>
      <w:proofErr w:type="spellEnd"/>
      <w:r w:rsidR="00BE20CA" w:rsidRPr="00BE20CA">
        <w:rPr>
          <w:sz w:val="26"/>
          <w:szCs w:val="26"/>
        </w:rPr>
        <w:t>н.;</w:t>
      </w:r>
    </w:p>
    <w:p w:rsidR="00BE20CA" w:rsidRPr="00BE20CA" w:rsidRDefault="00C01BAB" w:rsidP="00501839">
      <w:pPr>
        <w:numPr>
          <w:ilvl w:val="0"/>
          <w:numId w:val="3"/>
        </w:numPr>
        <w:spacing w:line="276" w:lineRule="auto"/>
        <w:jc w:val="both"/>
        <w:rPr>
          <w:sz w:val="26"/>
          <w:szCs w:val="26"/>
        </w:rPr>
      </w:pPr>
      <w:r>
        <w:rPr>
          <w:sz w:val="26"/>
          <w:szCs w:val="26"/>
        </w:rPr>
        <w:t>2</w:t>
      </w:r>
      <w:r w:rsidRPr="00C01BAB">
        <w:rPr>
          <w:sz w:val="26"/>
          <w:szCs w:val="26"/>
          <w:lang w:val="ru-RU"/>
        </w:rPr>
        <w:t>3</w:t>
      </w:r>
      <w:r w:rsidR="00F45363">
        <w:rPr>
          <w:sz w:val="26"/>
          <w:szCs w:val="26"/>
        </w:rPr>
        <w:t> проекти</w:t>
      </w:r>
      <w:r w:rsidR="00BE20CA" w:rsidRPr="00BE20CA">
        <w:rPr>
          <w:sz w:val="26"/>
          <w:szCs w:val="26"/>
        </w:rPr>
        <w:t xml:space="preserve"> по житлових будинках на суму  </w:t>
      </w:r>
      <w:r w:rsidRPr="00C01BAB">
        <w:rPr>
          <w:sz w:val="26"/>
          <w:szCs w:val="26"/>
          <w:lang w:val="ru-RU"/>
        </w:rPr>
        <w:t>82</w:t>
      </w:r>
      <w:r w:rsidR="00BE20CA" w:rsidRPr="00BE20CA">
        <w:rPr>
          <w:sz w:val="26"/>
          <w:szCs w:val="26"/>
        </w:rPr>
        <w:t> </w:t>
      </w:r>
      <w:r w:rsidRPr="00C01BAB">
        <w:rPr>
          <w:sz w:val="26"/>
          <w:szCs w:val="26"/>
          <w:lang w:val="ru-RU"/>
        </w:rPr>
        <w:t>437</w:t>
      </w:r>
      <w:r>
        <w:rPr>
          <w:sz w:val="26"/>
          <w:szCs w:val="26"/>
        </w:rPr>
        <w:t>,</w:t>
      </w:r>
      <w:r w:rsidRPr="00C01BAB">
        <w:rPr>
          <w:sz w:val="26"/>
          <w:szCs w:val="26"/>
          <w:lang w:val="ru-RU"/>
        </w:rPr>
        <w:t>6</w:t>
      </w:r>
      <w:proofErr w:type="spellStart"/>
      <w:r w:rsidR="00BE20CA" w:rsidRPr="00BE20CA">
        <w:rPr>
          <w:sz w:val="26"/>
          <w:szCs w:val="26"/>
        </w:rPr>
        <w:t> тис.гр</w:t>
      </w:r>
      <w:proofErr w:type="spellEnd"/>
      <w:r w:rsidR="00BE20CA" w:rsidRPr="00BE20CA">
        <w:rPr>
          <w:sz w:val="26"/>
          <w:szCs w:val="26"/>
        </w:rPr>
        <w:t>н.;</w:t>
      </w:r>
    </w:p>
    <w:p w:rsidR="00BE20CA" w:rsidRPr="00BE20CA" w:rsidRDefault="00C01BAB" w:rsidP="00501839">
      <w:pPr>
        <w:numPr>
          <w:ilvl w:val="0"/>
          <w:numId w:val="3"/>
        </w:numPr>
        <w:spacing w:line="276" w:lineRule="auto"/>
        <w:jc w:val="both"/>
        <w:rPr>
          <w:sz w:val="26"/>
          <w:szCs w:val="26"/>
        </w:rPr>
      </w:pPr>
      <w:r w:rsidRPr="00C01BAB">
        <w:rPr>
          <w:sz w:val="26"/>
          <w:szCs w:val="26"/>
          <w:lang w:val="ru-RU"/>
        </w:rPr>
        <w:t>5</w:t>
      </w:r>
      <w:r w:rsidR="00F45363">
        <w:rPr>
          <w:sz w:val="26"/>
          <w:szCs w:val="26"/>
        </w:rPr>
        <w:t xml:space="preserve"> проектів</w:t>
      </w:r>
      <w:r w:rsidR="00BE20CA" w:rsidRPr="00BE20CA">
        <w:rPr>
          <w:sz w:val="26"/>
          <w:szCs w:val="26"/>
        </w:rPr>
        <w:t xml:space="preserve"> з реконструкції котелень на суму 2</w:t>
      </w:r>
      <w:r w:rsidRPr="00C01BAB">
        <w:rPr>
          <w:sz w:val="26"/>
          <w:szCs w:val="26"/>
          <w:lang w:val="ru-RU"/>
        </w:rPr>
        <w:t>5</w:t>
      </w:r>
      <w:r w:rsidR="00BE20CA" w:rsidRPr="00BE20CA">
        <w:rPr>
          <w:sz w:val="26"/>
          <w:szCs w:val="26"/>
        </w:rPr>
        <w:t> </w:t>
      </w:r>
      <w:r w:rsidRPr="00C01BAB">
        <w:rPr>
          <w:sz w:val="26"/>
          <w:szCs w:val="26"/>
          <w:lang w:val="ru-RU"/>
        </w:rPr>
        <w:t>801</w:t>
      </w:r>
      <w:r w:rsidR="00D978F5">
        <w:rPr>
          <w:sz w:val="26"/>
          <w:szCs w:val="26"/>
        </w:rPr>
        <w:t>,</w:t>
      </w:r>
      <w:r w:rsidRPr="00C01BAB">
        <w:rPr>
          <w:sz w:val="26"/>
          <w:szCs w:val="26"/>
          <w:lang w:val="ru-RU"/>
        </w:rPr>
        <w:t>5</w:t>
      </w:r>
      <w:proofErr w:type="spellStart"/>
      <w:r w:rsidR="00BE20CA" w:rsidRPr="00BE20CA">
        <w:rPr>
          <w:sz w:val="26"/>
          <w:szCs w:val="26"/>
        </w:rPr>
        <w:t> тис</w:t>
      </w:r>
      <w:proofErr w:type="gramStart"/>
      <w:r w:rsidR="00BE20CA" w:rsidRPr="00BE20CA">
        <w:rPr>
          <w:sz w:val="26"/>
          <w:szCs w:val="26"/>
        </w:rPr>
        <w:t>.г</w:t>
      </w:r>
      <w:proofErr w:type="gramEnd"/>
      <w:r w:rsidR="00BE20CA" w:rsidRPr="00BE20CA">
        <w:rPr>
          <w:sz w:val="26"/>
          <w:szCs w:val="26"/>
        </w:rPr>
        <w:t>р</w:t>
      </w:r>
      <w:proofErr w:type="spellEnd"/>
      <w:r w:rsidR="00BE20CA" w:rsidRPr="00BE20CA">
        <w:rPr>
          <w:sz w:val="26"/>
          <w:szCs w:val="26"/>
        </w:rPr>
        <w:t>н.;</w:t>
      </w:r>
    </w:p>
    <w:p w:rsidR="00BE20CA" w:rsidRPr="00BE20CA" w:rsidRDefault="00C01BAB" w:rsidP="00501839">
      <w:pPr>
        <w:numPr>
          <w:ilvl w:val="0"/>
          <w:numId w:val="3"/>
        </w:numPr>
        <w:spacing w:line="276" w:lineRule="auto"/>
        <w:jc w:val="both"/>
        <w:rPr>
          <w:sz w:val="26"/>
          <w:szCs w:val="26"/>
        </w:rPr>
      </w:pPr>
      <w:r w:rsidRPr="00C01BAB">
        <w:rPr>
          <w:sz w:val="26"/>
          <w:szCs w:val="26"/>
          <w:lang w:val="ru-RU"/>
        </w:rPr>
        <w:t>75</w:t>
      </w:r>
      <w:r w:rsidR="00BE20CA" w:rsidRPr="00BE20CA">
        <w:rPr>
          <w:sz w:val="26"/>
          <w:szCs w:val="26"/>
        </w:rPr>
        <w:t xml:space="preserve"> проектів з капітального ремонту</w:t>
      </w:r>
      <w:r w:rsidR="00DB0479">
        <w:rPr>
          <w:sz w:val="26"/>
          <w:szCs w:val="26"/>
        </w:rPr>
        <w:t xml:space="preserve"> та реконструкції об’єктів </w:t>
      </w:r>
      <w:proofErr w:type="spellStart"/>
      <w:r w:rsidR="00DB0479">
        <w:rPr>
          <w:sz w:val="26"/>
          <w:szCs w:val="26"/>
        </w:rPr>
        <w:t>водо</w:t>
      </w:r>
      <w:r w:rsidR="00BE20CA" w:rsidRPr="00BE20CA">
        <w:rPr>
          <w:sz w:val="26"/>
          <w:szCs w:val="26"/>
        </w:rPr>
        <w:t>забезпечення</w:t>
      </w:r>
      <w:proofErr w:type="spellEnd"/>
      <w:r w:rsidR="00BE20CA" w:rsidRPr="00BE20CA">
        <w:rPr>
          <w:sz w:val="26"/>
          <w:szCs w:val="26"/>
        </w:rPr>
        <w:t xml:space="preserve"> та водовідведення на суму </w:t>
      </w:r>
      <w:r w:rsidRPr="00C01BAB">
        <w:rPr>
          <w:sz w:val="26"/>
          <w:szCs w:val="26"/>
          <w:lang w:val="ru-RU"/>
        </w:rPr>
        <w:t>368</w:t>
      </w:r>
      <w:r w:rsidR="00BE20CA" w:rsidRPr="00BE20CA">
        <w:rPr>
          <w:sz w:val="26"/>
          <w:szCs w:val="26"/>
        </w:rPr>
        <w:t> </w:t>
      </w:r>
      <w:r w:rsidRPr="00C01BAB">
        <w:rPr>
          <w:sz w:val="26"/>
          <w:szCs w:val="26"/>
          <w:lang w:val="ru-RU"/>
        </w:rPr>
        <w:t>355</w:t>
      </w:r>
      <w:r w:rsidR="00BE20CA" w:rsidRPr="00BE20CA">
        <w:rPr>
          <w:sz w:val="26"/>
          <w:szCs w:val="26"/>
        </w:rPr>
        <w:t>,</w:t>
      </w:r>
      <w:r w:rsidRPr="00C01BAB">
        <w:rPr>
          <w:sz w:val="26"/>
          <w:szCs w:val="26"/>
          <w:lang w:val="ru-RU"/>
        </w:rPr>
        <w:t>8</w:t>
      </w:r>
      <w:proofErr w:type="spellStart"/>
      <w:r w:rsidR="00BE20CA" w:rsidRPr="00BE20CA">
        <w:rPr>
          <w:sz w:val="26"/>
          <w:szCs w:val="26"/>
        </w:rPr>
        <w:t> тис</w:t>
      </w:r>
      <w:proofErr w:type="gramStart"/>
      <w:r w:rsidR="00BE20CA" w:rsidRPr="00BE20CA">
        <w:rPr>
          <w:sz w:val="26"/>
          <w:szCs w:val="26"/>
        </w:rPr>
        <w:t>.г</w:t>
      </w:r>
      <w:proofErr w:type="gramEnd"/>
      <w:r w:rsidR="00BE20CA" w:rsidRPr="00BE20CA">
        <w:rPr>
          <w:sz w:val="26"/>
          <w:szCs w:val="26"/>
        </w:rPr>
        <w:t>р</w:t>
      </w:r>
      <w:proofErr w:type="spellEnd"/>
      <w:r w:rsidR="00BE20CA" w:rsidRPr="00BE20CA">
        <w:rPr>
          <w:sz w:val="26"/>
          <w:szCs w:val="26"/>
        </w:rPr>
        <w:t>н.;</w:t>
      </w:r>
    </w:p>
    <w:p w:rsidR="00BE20CA" w:rsidRDefault="00C01BAB" w:rsidP="00501839">
      <w:pPr>
        <w:numPr>
          <w:ilvl w:val="0"/>
          <w:numId w:val="3"/>
        </w:numPr>
        <w:spacing w:line="276" w:lineRule="auto"/>
        <w:jc w:val="both"/>
        <w:rPr>
          <w:sz w:val="26"/>
          <w:szCs w:val="26"/>
        </w:rPr>
      </w:pPr>
      <w:r w:rsidRPr="00C01BAB">
        <w:rPr>
          <w:sz w:val="26"/>
          <w:szCs w:val="26"/>
          <w:lang w:val="ru-RU"/>
        </w:rPr>
        <w:t>39</w:t>
      </w:r>
      <w:r w:rsidR="00BE20CA" w:rsidRPr="00BE20CA">
        <w:rPr>
          <w:sz w:val="26"/>
          <w:szCs w:val="26"/>
        </w:rPr>
        <w:t xml:space="preserve"> проект</w:t>
      </w:r>
      <w:r w:rsidR="00F45363">
        <w:rPr>
          <w:sz w:val="26"/>
          <w:szCs w:val="26"/>
        </w:rPr>
        <w:t>ів</w:t>
      </w:r>
      <w:r w:rsidR="00BE20CA" w:rsidRPr="00BE20CA">
        <w:rPr>
          <w:sz w:val="26"/>
          <w:szCs w:val="26"/>
        </w:rPr>
        <w:t xml:space="preserve"> по зовнішньому освітленню на суму </w:t>
      </w:r>
      <w:r w:rsidRPr="00C01BAB">
        <w:rPr>
          <w:sz w:val="26"/>
          <w:szCs w:val="26"/>
          <w:lang w:val="ru-RU"/>
        </w:rPr>
        <w:t>31</w:t>
      </w:r>
      <w:r w:rsidR="00D978F5">
        <w:rPr>
          <w:sz w:val="26"/>
          <w:szCs w:val="26"/>
        </w:rPr>
        <w:t> </w:t>
      </w:r>
      <w:r w:rsidRPr="00C01BAB">
        <w:rPr>
          <w:sz w:val="26"/>
          <w:szCs w:val="26"/>
          <w:lang w:val="ru-RU"/>
        </w:rPr>
        <w:t>117</w:t>
      </w:r>
      <w:r>
        <w:rPr>
          <w:sz w:val="26"/>
          <w:szCs w:val="26"/>
        </w:rPr>
        <w:t>,</w:t>
      </w:r>
      <w:r w:rsidRPr="00C01BAB">
        <w:rPr>
          <w:sz w:val="26"/>
          <w:szCs w:val="26"/>
          <w:lang w:val="ru-RU"/>
        </w:rPr>
        <w:t>7</w:t>
      </w:r>
      <w:proofErr w:type="spellStart"/>
      <w:r w:rsidR="00BE20CA" w:rsidRPr="00BE20CA">
        <w:rPr>
          <w:sz w:val="26"/>
          <w:szCs w:val="26"/>
        </w:rPr>
        <w:t> тис</w:t>
      </w:r>
      <w:proofErr w:type="gramStart"/>
      <w:r w:rsidR="00BE20CA" w:rsidRPr="00BE20CA">
        <w:rPr>
          <w:sz w:val="26"/>
          <w:szCs w:val="26"/>
        </w:rPr>
        <w:t>.г</w:t>
      </w:r>
      <w:proofErr w:type="gramEnd"/>
      <w:r w:rsidR="00BE20CA" w:rsidRPr="00BE20CA">
        <w:rPr>
          <w:sz w:val="26"/>
          <w:szCs w:val="26"/>
        </w:rPr>
        <w:t>р</w:t>
      </w:r>
      <w:proofErr w:type="spellEnd"/>
      <w:r w:rsidR="00BE20CA" w:rsidRPr="00BE20CA">
        <w:rPr>
          <w:sz w:val="26"/>
          <w:szCs w:val="26"/>
        </w:rPr>
        <w:t>н.</w:t>
      </w:r>
    </w:p>
    <w:p w:rsidR="004B35E1" w:rsidRDefault="00C01BAB" w:rsidP="00501839">
      <w:pPr>
        <w:numPr>
          <w:ilvl w:val="0"/>
          <w:numId w:val="3"/>
        </w:numPr>
        <w:spacing w:line="276" w:lineRule="auto"/>
        <w:jc w:val="both"/>
        <w:rPr>
          <w:sz w:val="26"/>
          <w:szCs w:val="26"/>
        </w:rPr>
      </w:pPr>
      <w:r w:rsidRPr="00C01BAB">
        <w:rPr>
          <w:sz w:val="26"/>
          <w:szCs w:val="26"/>
          <w:lang w:val="ru-RU"/>
        </w:rPr>
        <w:t>15</w:t>
      </w:r>
      <w:r w:rsidR="004B35E1" w:rsidRPr="00DD7FD3">
        <w:rPr>
          <w:sz w:val="26"/>
          <w:szCs w:val="26"/>
        </w:rPr>
        <w:t xml:space="preserve"> інших проектів на суму </w:t>
      </w:r>
      <w:r w:rsidRPr="00C01BAB">
        <w:rPr>
          <w:sz w:val="26"/>
          <w:szCs w:val="26"/>
          <w:lang w:val="ru-RU"/>
        </w:rPr>
        <w:t>275</w:t>
      </w:r>
      <w:r w:rsidR="004B35E1" w:rsidRPr="00DD7FD3">
        <w:rPr>
          <w:sz w:val="26"/>
          <w:szCs w:val="26"/>
        </w:rPr>
        <w:t> </w:t>
      </w:r>
      <w:r w:rsidRPr="00C01BAB">
        <w:rPr>
          <w:sz w:val="26"/>
          <w:szCs w:val="26"/>
          <w:lang w:val="ru-RU"/>
        </w:rPr>
        <w:t>146</w:t>
      </w:r>
      <w:r w:rsidR="004B35E1" w:rsidRPr="00DD7FD3">
        <w:rPr>
          <w:sz w:val="26"/>
          <w:szCs w:val="26"/>
        </w:rPr>
        <w:t>,</w:t>
      </w:r>
      <w:r w:rsidRPr="00C01BAB">
        <w:rPr>
          <w:sz w:val="26"/>
          <w:szCs w:val="26"/>
          <w:lang w:val="ru-RU"/>
        </w:rPr>
        <w:t>1</w:t>
      </w:r>
      <w:r w:rsidR="004B35E1" w:rsidRPr="00DD7FD3">
        <w:rPr>
          <w:sz w:val="26"/>
          <w:szCs w:val="26"/>
        </w:rPr>
        <w:t xml:space="preserve"> </w:t>
      </w:r>
      <w:proofErr w:type="spellStart"/>
      <w:r w:rsidR="004B35E1" w:rsidRPr="00DD7FD3">
        <w:rPr>
          <w:sz w:val="26"/>
          <w:szCs w:val="26"/>
        </w:rPr>
        <w:t>тис</w:t>
      </w:r>
      <w:proofErr w:type="gramStart"/>
      <w:r w:rsidR="004B35E1" w:rsidRPr="00DD7FD3">
        <w:rPr>
          <w:sz w:val="26"/>
          <w:szCs w:val="26"/>
        </w:rPr>
        <w:t>.г</w:t>
      </w:r>
      <w:proofErr w:type="gramEnd"/>
      <w:r w:rsidR="004B35E1" w:rsidRPr="00DD7FD3">
        <w:rPr>
          <w:sz w:val="26"/>
          <w:szCs w:val="26"/>
        </w:rPr>
        <w:t>рн</w:t>
      </w:r>
      <w:proofErr w:type="spellEnd"/>
      <w:r w:rsidR="004B35E1" w:rsidRPr="00DD7FD3">
        <w:rPr>
          <w:sz w:val="26"/>
          <w:szCs w:val="26"/>
        </w:rPr>
        <w:t>.</w:t>
      </w:r>
    </w:p>
    <w:p w:rsidR="00501839" w:rsidRDefault="00501839" w:rsidP="00501839">
      <w:pPr>
        <w:spacing w:line="276" w:lineRule="auto"/>
        <w:ind w:firstLine="708"/>
        <w:jc w:val="both"/>
        <w:rPr>
          <w:sz w:val="26"/>
          <w:szCs w:val="26"/>
        </w:rPr>
      </w:pPr>
      <w:r>
        <w:rPr>
          <w:sz w:val="26"/>
          <w:szCs w:val="26"/>
        </w:rPr>
        <w:lastRenderedPageBreak/>
        <w:t>За</w:t>
      </w:r>
      <w:r w:rsidR="00C01BAB">
        <w:rPr>
          <w:sz w:val="26"/>
          <w:szCs w:val="26"/>
        </w:rPr>
        <w:t xml:space="preserve"> результатами торгів  укладено </w:t>
      </w:r>
      <w:r w:rsidR="00C01BAB" w:rsidRPr="00C01BAB">
        <w:rPr>
          <w:sz w:val="26"/>
          <w:szCs w:val="26"/>
          <w:lang w:val="ru-RU"/>
        </w:rPr>
        <w:t>2</w:t>
      </w:r>
      <w:r>
        <w:rPr>
          <w:sz w:val="26"/>
          <w:szCs w:val="26"/>
        </w:rPr>
        <w:t>0</w:t>
      </w:r>
      <w:r w:rsidR="003969D2">
        <w:rPr>
          <w:sz w:val="26"/>
          <w:szCs w:val="26"/>
        </w:rPr>
        <w:t>0</w:t>
      </w:r>
      <w:r>
        <w:rPr>
          <w:sz w:val="26"/>
          <w:szCs w:val="26"/>
        </w:rPr>
        <w:t xml:space="preserve"> договорів.</w:t>
      </w:r>
    </w:p>
    <w:p w:rsidR="00786A33" w:rsidRDefault="00786A33" w:rsidP="00501839">
      <w:pPr>
        <w:spacing w:line="276" w:lineRule="auto"/>
        <w:ind w:firstLine="708"/>
        <w:jc w:val="both"/>
        <w:rPr>
          <w:sz w:val="26"/>
          <w:szCs w:val="26"/>
        </w:rPr>
      </w:pPr>
      <w:r>
        <w:rPr>
          <w:sz w:val="26"/>
          <w:szCs w:val="26"/>
        </w:rPr>
        <w:t>У 2016 році завершено реалізацію 13 проектів, на які за рахунок залишків коштів місцевих бюджетів витрачено 56 328,08 тис.грн.</w:t>
      </w:r>
    </w:p>
    <w:p w:rsidR="00786A33" w:rsidRPr="00DD7FD3" w:rsidRDefault="00786A33" w:rsidP="00501839">
      <w:pPr>
        <w:spacing w:line="276" w:lineRule="auto"/>
        <w:ind w:firstLine="708"/>
        <w:jc w:val="both"/>
        <w:rPr>
          <w:sz w:val="26"/>
          <w:szCs w:val="26"/>
        </w:rPr>
      </w:pPr>
      <w:r>
        <w:rPr>
          <w:sz w:val="26"/>
          <w:szCs w:val="26"/>
        </w:rPr>
        <w:t>Також повідомляємо, що інформація про стан реалізації інфраструктурних проектів</w:t>
      </w:r>
      <w:r w:rsidR="00AB0651">
        <w:rPr>
          <w:sz w:val="26"/>
          <w:szCs w:val="26"/>
        </w:rPr>
        <w:t xml:space="preserve"> розміщена на сайті облдержадміністрації, та оновлюватиметься щотижнево.</w:t>
      </w:r>
    </w:p>
    <w:p w:rsidR="003D3AE8" w:rsidRPr="003D3AE8" w:rsidRDefault="00C56612" w:rsidP="008F7C98">
      <w:pPr>
        <w:spacing w:before="240" w:line="276" w:lineRule="auto"/>
        <w:ind w:firstLine="708"/>
        <w:jc w:val="both"/>
        <w:rPr>
          <w:sz w:val="26"/>
          <w:szCs w:val="26"/>
        </w:rPr>
      </w:pPr>
      <w:r>
        <w:rPr>
          <w:sz w:val="26"/>
          <w:szCs w:val="26"/>
        </w:rPr>
        <w:t xml:space="preserve"> </w:t>
      </w:r>
      <w:r w:rsidR="003D3AE8">
        <w:rPr>
          <w:sz w:val="26"/>
          <w:szCs w:val="26"/>
        </w:rPr>
        <w:t xml:space="preserve">2. </w:t>
      </w:r>
      <w:r w:rsidR="003D3AE8" w:rsidRPr="003D3AE8">
        <w:rPr>
          <w:sz w:val="26"/>
          <w:szCs w:val="26"/>
          <w:u w:val="single"/>
        </w:rPr>
        <w:t xml:space="preserve">Щодо порушення природоохоронного законодавства підприємствами   </w:t>
      </w:r>
      <w:r w:rsidR="003D3AE8">
        <w:rPr>
          <w:sz w:val="26"/>
          <w:szCs w:val="26"/>
          <w:u w:val="single"/>
        </w:rPr>
        <w:t xml:space="preserve"> </w:t>
      </w:r>
      <w:r w:rsidR="003D3AE8" w:rsidRPr="003D3AE8">
        <w:rPr>
          <w:sz w:val="26"/>
          <w:szCs w:val="26"/>
          <w:u w:val="single"/>
        </w:rPr>
        <w:t xml:space="preserve">м. </w:t>
      </w:r>
      <w:proofErr w:type="spellStart"/>
      <w:r w:rsidR="003D3AE8" w:rsidRPr="003D3AE8">
        <w:rPr>
          <w:sz w:val="26"/>
          <w:szCs w:val="26"/>
          <w:u w:val="single"/>
        </w:rPr>
        <w:t>Курахово</w:t>
      </w:r>
      <w:proofErr w:type="spellEnd"/>
      <w:r w:rsidR="003D3AE8">
        <w:rPr>
          <w:sz w:val="26"/>
          <w:szCs w:val="26"/>
          <w:u w:val="single"/>
        </w:rPr>
        <w:t xml:space="preserve">. </w:t>
      </w:r>
      <w:r w:rsidR="003D3AE8" w:rsidRPr="003D3AE8">
        <w:rPr>
          <w:sz w:val="26"/>
          <w:szCs w:val="26"/>
        </w:rPr>
        <w:t xml:space="preserve">Малим приватним підприємством «СДС» (далі – МПП «СДС») </w:t>
      </w:r>
      <w:r w:rsidR="003D3AE8">
        <w:rPr>
          <w:sz w:val="26"/>
          <w:szCs w:val="26"/>
        </w:rPr>
        <w:t xml:space="preserve"> </w:t>
      </w:r>
      <w:r w:rsidR="003D3AE8" w:rsidRPr="003D3AE8">
        <w:rPr>
          <w:sz w:val="26"/>
          <w:szCs w:val="26"/>
        </w:rPr>
        <w:t xml:space="preserve">для отримання дозволів на викиди забруднюючих речовин в атмосферне повітря стаціонарними джерелами (далі - Дозвіл) було надано заяви та пакети документів, передбачені постановою Кабінету Міністрів України від 13.03.2002 № 302  «Про затвердження Порядку проведення та оплати робіт, пов’язаних з видачею дозволів на викиди забруднюючих речовин в атмосферне повітря стаціонарними джерелами, обліку підприємств, установ, організацій та громадян - підприємців, які отримали такі дозволи». </w:t>
      </w:r>
    </w:p>
    <w:p w:rsidR="003D3AE8" w:rsidRPr="003D3AE8" w:rsidRDefault="003D3AE8" w:rsidP="003D3AE8">
      <w:pPr>
        <w:spacing w:line="276" w:lineRule="auto"/>
        <w:ind w:firstLine="708"/>
        <w:jc w:val="both"/>
        <w:rPr>
          <w:sz w:val="26"/>
          <w:szCs w:val="26"/>
        </w:rPr>
      </w:pPr>
      <w:r w:rsidRPr="003D3AE8">
        <w:rPr>
          <w:sz w:val="26"/>
          <w:szCs w:val="26"/>
        </w:rPr>
        <w:t>Департаментом</w:t>
      </w:r>
      <w:r>
        <w:rPr>
          <w:sz w:val="26"/>
          <w:szCs w:val="26"/>
        </w:rPr>
        <w:t xml:space="preserve"> екології та природних ресурсів</w:t>
      </w:r>
      <w:r w:rsidRPr="003D3AE8">
        <w:rPr>
          <w:sz w:val="26"/>
          <w:szCs w:val="26"/>
        </w:rPr>
        <w:t xml:space="preserve"> видано МПП «СДС» Дозволи від 18.08.2016 № 1423310600-21, № 1423310600-22.</w:t>
      </w:r>
    </w:p>
    <w:p w:rsidR="003D3AE8" w:rsidRPr="003D3AE8" w:rsidRDefault="003D3AE8" w:rsidP="003D3AE8">
      <w:pPr>
        <w:spacing w:line="276" w:lineRule="auto"/>
        <w:ind w:firstLine="708"/>
        <w:jc w:val="both"/>
        <w:rPr>
          <w:sz w:val="26"/>
          <w:szCs w:val="26"/>
        </w:rPr>
      </w:pPr>
      <w:r w:rsidRPr="003D3AE8">
        <w:rPr>
          <w:sz w:val="26"/>
          <w:szCs w:val="26"/>
        </w:rPr>
        <w:t>Встановлені нормативи в Дозволах відповідають «Нормативам граничнодопустимих викидів забруднюючих речовин із стаціонарних джерел», затверджених Наказом Міністерства охорони навколишнього природного середовища України від 27.06.2006 № 309. Крім того, в акті перевірки дотримання вимог природоохоронного законодавства Державної екологічної інспекції у Донецькій області не міститься інформації про те, що встановлені нормативи граничнодопустимих викидів в Дозволі не відповідають нормативам граничнодопустимих викидів відповідно до законодавства.</w:t>
      </w:r>
    </w:p>
    <w:p w:rsidR="003D3AE8" w:rsidRPr="003D3AE8" w:rsidRDefault="003D3AE8" w:rsidP="003D3AE8">
      <w:pPr>
        <w:spacing w:line="276" w:lineRule="auto"/>
        <w:ind w:firstLine="708"/>
        <w:jc w:val="both"/>
        <w:rPr>
          <w:sz w:val="26"/>
          <w:szCs w:val="26"/>
        </w:rPr>
      </w:pPr>
      <w:r w:rsidRPr="003D3AE8">
        <w:rPr>
          <w:sz w:val="26"/>
          <w:szCs w:val="26"/>
        </w:rPr>
        <w:t xml:space="preserve">У пакеті документів МПП «СДС» було надано лист </w:t>
      </w:r>
      <w:proofErr w:type="spellStart"/>
      <w:r w:rsidRPr="003D3AE8">
        <w:rPr>
          <w:sz w:val="26"/>
          <w:szCs w:val="26"/>
        </w:rPr>
        <w:t>Мар’їнської</w:t>
      </w:r>
      <w:proofErr w:type="spellEnd"/>
      <w:r w:rsidRPr="003D3AE8">
        <w:rPr>
          <w:sz w:val="26"/>
          <w:szCs w:val="26"/>
        </w:rPr>
        <w:t xml:space="preserve"> районної державної адміністрації про відсутність скарг та пропозицій від населення впродовж 30 днів на опубліковану заяву суб’єкта господарювання про намір отримати дозвіл на викиди забруднюючих речовин в атмосферне повітря, а також рішення про можливість видачі дозволу від Головного управління </w:t>
      </w:r>
      <w:proofErr w:type="spellStart"/>
      <w:r w:rsidRPr="003D3AE8">
        <w:rPr>
          <w:sz w:val="26"/>
          <w:szCs w:val="26"/>
        </w:rPr>
        <w:t>Держпродспоживслужби</w:t>
      </w:r>
      <w:proofErr w:type="spellEnd"/>
      <w:r w:rsidRPr="003D3AE8">
        <w:rPr>
          <w:sz w:val="26"/>
          <w:szCs w:val="26"/>
        </w:rPr>
        <w:t xml:space="preserve"> в Донецькій області.</w:t>
      </w:r>
    </w:p>
    <w:p w:rsidR="003D3AE8" w:rsidRPr="003D3AE8" w:rsidRDefault="003D3AE8" w:rsidP="003D3AE8">
      <w:pPr>
        <w:spacing w:line="276" w:lineRule="auto"/>
        <w:ind w:firstLine="708"/>
        <w:jc w:val="both"/>
        <w:rPr>
          <w:sz w:val="26"/>
          <w:szCs w:val="26"/>
        </w:rPr>
      </w:pPr>
      <w:r w:rsidRPr="003D3AE8">
        <w:rPr>
          <w:sz w:val="26"/>
          <w:szCs w:val="26"/>
        </w:rPr>
        <w:t>МПП «СДС» не зверталось до департаменту</w:t>
      </w:r>
      <w:r>
        <w:rPr>
          <w:sz w:val="26"/>
          <w:szCs w:val="26"/>
        </w:rPr>
        <w:t xml:space="preserve"> екології та природних ресурсів</w:t>
      </w:r>
      <w:r w:rsidRPr="003D3AE8">
        <w:rPr>
          <w:sz w:val="26"/>
          <w:szCs w:val="26"/>
        </w:rPr>
        <w:t xml:space="preserve"> за отриманням дозволу</w:t>
      </w:r>
      <w:r>
        <w:rPr>
          <w:sz w:val="26"/>
          <w:szCs w:val="26"/>
        </w:rPr>
        <w:t xml:space="preserve"> </w:t>
      </w:r>
      <w:r w:rsidRPr="003D3AE8">
        <w:rPr>
          <w:sz w:val="26"/>
          <w:szCs w:val="26"/>
        </w:rPr>
        <w:t>на спеціальне водокористування, не подавало декларацію про відходи та, не зверталось із заявою про затвердження реєстрової карти об’єкту утворення, оброблення та утилізації відходів або паспорту місця видалення відходів.</w:t>
      </w:r>
    </w:p>
    <w:p w:rsidR="003D3AE8" w:rsidRPr="003D3AE8" w:rsidRDefault="003D3AE8" w:rsidP="003D3AE8">
      <w:pPr>
        <w:spacing w:line="276" w:lineRule="auto"/>
        <w:ind w:firstLine="708"/>
        <w:jc w:val="both"/>
        <w:rPr>
          <w:sz w:val="26"/>
          <w:szCs w:val="26"/>
        </w:rPr>
      </w:pPr>
      <w:r w:rsidRPr="003D3AE8">
        <w:rPr>
          <w:sz w:val="26"/>
          <w:szCs w:val="26"/>
        </w:rPr>
        <w:t>ТОВ «Науково-виробниче об’єднання «</w:t>
      </w:r>
      <w:proofErr w:type="spellStart"/>
      <w:r w:rsidRPr="003D3AE8">
        <w:rPr>
          <w:sz w:val="26"/>
          <w:szCs w:val="26"/>
        </w:rPr>
        <w:t>Синтоп</w:t>
      </w:r>
      <w:proofErr w:type="spellEnd"/>
      <w:r w:rsidRPr="003D3AE8">
        <w:rPr>
          <w:sz w:val="26"/>
          <w:szCs w:val="26"/>
        </w:rPr>
        <w:t xml:space="preserve">» за отриманням дозволів на викиди забруднюючих речовин в атмосферне повітря стаціонарними джерелами та на </w:t>
      </w:r>
      <w:proofErr w:type="spellStart"/>
      <w:r w:rsidRPr="003D3AE8">
        <w:rPr>
          <w:sz w:val="26"/>
          <w:szCs w:val="26"/>
        </w:rPr>
        <w:t>спецводокористування</w:t>
      </w:r>
      <w:proofErr w:type="spellEnd"/>
      <w:r w:rsidRPr="003D3AE8">
        <w:rPr>
          <w:sz w:val="26"/>
          <w:szCs w:val="26"/>
        </w:rPr>
        <w:t xml:space="preserve"> до облдержадміністрації не зверталось.</w:t>
      </w:r>
    </w:p>
    <w:p w:rsidR="003D3AE8" w:rsidRPr="003D3AE8" w:rsidRDefault="003D3AE8" w:rsidP="003D3AE8">
      <w:pPr>
        <w:spacing w:line="276" w:lineRule="auto"/>
        <w:ind w:firstLine="708"/>
        <w:jc w:val="both"/>
        <w:rPr>
          <w:sz w:val="26"/>
          <w:szCs w:val="26"/>
        </w:rPr>
      </w:pPr>
      <w:r w:rsidRPr="003D3AE8">
        <w:rPr>
          <w:sz w:val="26"/>
          <w:szCs w:val="26"/>
        </w:rPr>
        <w:t>ТОВ «Науково-виробниче об’єднання «</w:t>
      </w:r>
      <w:proofErr w:type="spellStart"/>
      <w:r w:rsidRPr="003D3AE8">
        <w:rPr>
          <w:sz w:val="26"/>
          <w:szCs w:val="26"/>
        </w:rPr>
        <w:t>Синтоп</w:t>
      </w:r>
      <w:proofErr w:type="spellEnd"/>
      <w:r w:rsidRPr="003D3AE8">
        <w:rPr>
          <w:sz w:val="26"/>
          <w:szCs w:val="26"/>
        </w:rPr>
        <w:t xml:space="preserve">» (код ЄДРПОУ 35559523; 85612, Мар’їнський район, м. </w:t>
      </w:r>
      <w:proofErr w:type="spellStart"/>
      <w:r w:rsidRPr="003D3AE8">
        <w:rPr>
          <w:sz w:val="26"/>
          <w:szCs w:val="26"/>
        </w:rPr>
        <w:t>Курахове</w:t>
      </w:r>
      <w:proofErr w:type="spellEnd"/>
      <w:r w:rsidRPr="003D3AE8">
        <w:rPr>
          <w:sz w:val="26"/>
          <w:szCs w:val="26"/>
        </w:rPr>
        <w:t xml:space="preserve">, </w:t>
      </w:r>
      <w:proofErr w:type="spellStart"/>
      <w:r w:rsidRPr="003D3AE8">
        <w:rPr>
          <w:sz w:val="26"/>
          <w:szCs w:val="26"/>
        </w:rPr>
        <w:t>промзона</w:t>
      </w:r>
      <w:proofErr w:type="spellEnd"/>
      <w:r w:rsidRPr="003D3AE8">
        <w:rPr>
          <w:sz w:val="26"/>
          <w:szCs w:val="26"/>
        </w:rPr>
        <w:t>, б. 64) отримано дозвіл                           на розміщення відходів на 2014 рік від 25.10.2013 № 29.08ОДА та ліміти на утворення та розміщення відходів № 29.08ОДА, затверджені облдержадміністрацією 16.12.2013, терміном дії з 01.01.2014 до 31.12.2014.</w:t>
      </w:r>
    </w:p>
    <w:p w:rsidR="003D3AE8" w:rsidRPr="003D3AE8" w:rsidRDefault="003D3AE8" w:rsidP="003D3AE8">
      <w:pPr>
        <w:spacing w:line="276" w:lineRule="auto"/>
        <w:ind w:firstLine="708"/>
        <w:jc w:val="both"/>
        <w:rPr>
          <w:sz w:val="26"/>
          <w:szCs w:val="26"/>
        </w:rPr>
      </w:pPr>
      <w:r w:rsidRPr="003D3AE8">
        <w:rPr>
          <w:sz w:val="26"/>
          <w:szCs w:val="26"/>
        </w:rPr>
        <w:lastRenderedPageBreak/>
        <w:t xml:space="preserve">Відповідно до ст. 3 Закону України «Про тимчасові заходи на період проведення антитерористичної операції» органам і посадовим особам, уповноваженим законами здійснювати державний нагляд (контроль) у сфері господарської діяльності, у період та на території проведення антитерористичної операції тимчасово забороняється проведення планових та позапланових перевірок суб’єктів господарювання, що здійснюють діяльність в зоні проведення антитерористичної операції, крім позапланових перевірок суб’єктів господарювання, що відповідно до затверджених Кабінетом Міністрів України критеріїв оцінки ступеня ризику від провадження господарської діяльності віднесені до суб’єктів господарювання з високим ступенем ризику. </w:t>
      </w:r>
    </w:p>
    <w:p w:rsidR="003D3AE8" w:rsidRPr="003D3AE8" w:rsidRDefault="003D3AE8" w:rsidP="003D3AE8">
      <w:pPr>
        <w:spacing w:line="276" w:lineRule="auto"/>
        <w:ind w:firstLine="708"/>
        <w:jc w:val="both"/>
        <w:rPr>
          <w:sz w:val="26"/>
          <w:szCs w:val="26"/>
        </w:rPr>
      </w:pPr>
      <w:r w:rsidRPr="003D3AE8">
        <w:rPr>
          <w:sz w:val="26"/>
          <w:szCs w:val="26"/>
        </w:rPr>
        <w:t>У відповідності до ст.6 Закону України «Про основні засади державного нагляду (контролю) у сфері господарської діяльності», проведення позапланових перевірок суб’єктів господарювання можливе лише за наявності обґрунтованого звернення фізичної особи про порушення суб’єктом господарювання  її  законних прав. Позаплановий захід у зазначеному випадку здійснюється тільки за наявності згоди центрального  органу виконавчої влади на його проведення.</w:t>
      </w:r>
    </w:p>
    <w:p w:rsidR="003D3AE8" w:rsidRPr="003D3AE8" w:rsidRDefault="003D3AE8" w:rsidP="003D3AE8">
      <w:pPr>
        <w:spacing w:line="276" w:lineRule="auto"/>
        <w:ind w:firstLine="708"/>
        <w:jc w:val="both"/>
        <w:rPr>
          <w:sz w:val="26"/>
          <w:szCs w:val="26"/>
        </w:rPr>
      </w:pPr>
      <w:r w:rsidRPr="003D3AE8">
        <w:rPr>
          <w:sz w:val="26"/>
          <w:szCs w:val="26"/>
        </w:rPr>
        <w:t>На теперішній час Державною екологічною інспекцією у Донецькій області здійснено позапланову перевірку МПП «СДС», за результатами якої встановлено,                                     що на підприємстві:</w:t>
      </w:r>
    </w:p>
    <w:p w:rsidR="003D3AE8" w:rsidRPr="003D3AE8" w:rsidRDefault="003D3AE8" w:rsidP="003D3AE8">
      <w:pPr>
        <w:spacing w:line="276" w:lineRule="auto"/>
        <w:ind w:firstLine="708"/>
        <w:jc w:val="both"/>
        <w:rPr>
          <w:sz w:val="26"/>
          <w:szCs w:val="26"/>
        </w:rPr>
      </w:pPr>
      <w:r w:rsidRPr="003D3AE8">
        <w:rPr>
          <w:sz w:val="26"/>
          <w:szCs w:val="26"/>
        </w:rPr>
        <w:t>не виконуються заходи щодо запобігання перевищенню встановлених нормативів граничнодопустимих викидів у процесі виробництва;</w:t>
      </w:r>
    </w:p>
    <w:p w:rsidR="003D3AE8" w:rsidRPr="003D3AE8" w:rsidRDefault="003D3AE8" w:rsidP="003D3AE8">
      <w:pPr>
        <w:spacing w:line="276" w:lineRule="auto"/>
        <w:ind w:firstLine="708"/>
        <w:jc w:val="both"/>
        <w:rPr>
          <w:sz w:val="26"/>
          <w:szCs w:val="26"/>
        </w:rPr>
      </w:pPr>
      <w:r w:rsidRPr="003D3AE8">
        <w:rPr>
          <w:sz w:val="26"/>
          <w:szCs w:val="26"/>
        </w:rPr>
        <w:t>порушуються правила експлуатації водогосподарських споруд;</w:t>
      </w:r>
    </w:p>
    <w:p w:rsidR="003D3AE8" w:rsidRPr="003D3AE8" w:rsidRDefault="003D3AE8" w:rsidP="003D3AE8">
      <w:pPr>
        <w:spacing w:line="276" w:lineRule="auto"/>
        <w:ind w:firstLine="708"/>
        <w:jc w:val="both"/>
        <w:rPr>
          <w:sz w:val="26"/>
          <w:szCs w:val="26"/>
        </w:rPr>
      </w:pPr>
      <w:r w:rsidRPr="003D3AE8">
        <w:rPr>
          <w:sz w:val="26"/>
          <w:szCs w:val="26"/>
        </w:rPr>
        <w:t>на земельних ділянках без наявності твердого покриття, з родючим шаром ґрунту встановлено факт забруднення земельних ділянок відходами виробництва.</w:t>
      </w:r>
    </w:p>
    <w:p w:rsidR="007E1414" w:rsidRDefault="003D3AE8" w:rsidP="007A5C0F">
      <w:pPr>
        <w:spacing w:line="276" w:lineRule="auto"/>
        <w:ind w:firstLine="708"/>
        <w:jc w:val="both"/>
        <w:rPr>
          <w:sz w:val="26"/>
          <w:szCs w:val="26"/>
        </w:rPr>
      </w:pPr>
      <w:r w:rsidRPr="003D3AE8">
        <w:rPr>
          <w:sz w:val="26"/>
          <w:szCs w:val="26"/>
        </w:rPr>
        <w:t xml:space="preserve">За </w:t>
      </w:r>
      <w:r w:rsidR="007A5C0F">
        <w:rPr>
          <w:sz w:val="26"/>
          <w:szCs w:val="26"/>
        </w:rPr>
        <w:t>вказані</w:t>
      </w:r>
      <w:r w:rsidRPr="003D3AE8">
        <w:rPr>
          <w:sz w:val="26"/>
          <w:szCs w:val="26"/>
        </w:rPr>
        <w:t xml:space="preserve"> порушення природоохоронного законодавства</w:t>
      </w:r>
      <w:r w:rsidR="007A5C0F">
        <w:rPr>
          <w:sz w:val="26"/>
          <w:szCs w:val="26"/>
        </w:rPr>
        <w:t xml:space="preserve"> </w:t>
      </w:r>
      <w:r w:rsidR="007A5C0F" w:rsidRPr="003D3AE8">
        <w:rPr>
          <w:sz w:val="26"/>
          <w:szCs w:val="26"/>
        </w:rPr>
        <w:t>відповідальні особи</w:t>
      </w:r>
      <w:r w:rsidR="007A5C0F">
        <w:rPr>
          <w:sz w:val="26"/>
          <w:szCs w:val="26"/>
        </w:rPr>
        <w:t xml:space="preserve"> </w:t>
      </w:r>
      <w:r w:rsidR="007A5C0F" w:rsidRPr="003D3AE8">
        <w:rPr>
          <w:sz w:val="26"/>
          <w:szCs w:val="26"/>
        </w:rPr>
        <w:t>МПП «СДС»</w:t>
      </w:r>
      <w:r w:rsidR="007A5C0F" w:rsidRPr="007A5C0F">
        <w:rPr>
          <w:sz w:val="26"/>
          <w:szCs w:val="26"/>
        </w:rPr>
        <w:t xml:space="preserve"> </w:t>
      </w:r>
      <w:r w:rsidR="007A5C0F" w:rsidRPr="003D3AE8">
        <w:rPr>
          <w:sz w:val="26"/>
          <w:szCs w:val="26"/>
        </w:rPr>
        <w:t xml:space="preserve">притягнуті </w:t>
      </w:r>
      <w:r w:rsidRPr="003D3AE8">
        <w:rPr>
          <w:sz w:val="26"/>
          <w:szCs w:val="26"/>
        </w:rPr>
        <w:t>до адміністративної відповідальності.</w:t>
      </w:r>
    </w:p>
    <w:p w:rsidR="00172C41" w:rsidRDefault="00172C41" w:rsidP="008F7C98">
      <w:pPr>
        <w:spacing w:line="276" w:lineRule="auto"/>
        <w:ind w:firstLine="708"/>
        <w:jc w:val="both"/>
        <w:rPr>
          <w:sz w:val="26"/>
          <w:szCs w:val="26"/>
          <w:u w:val="single"/>
        </w:rPr>
      </w:pPr>
    </w:p>
    <w:p w:rsidR="008F7C98" w:rsidRPr="008F7C98" w:rsidRDefault="003D3AE8" w:rsidP="008F7C98">
      <w:pPr>
        <w:spacing w:line="276" w:lineRule="auto"/>
        <w:ind w:firstLine="708"/>
        <w:jc w:val="both"/>
        <w:rPr>
          <w:sz w:val="26"/>
          <w:szCs w:val="26"/>
        </w:rPr>
      </w:pPr>
      <w:r w:rsidRPr="008F7C98">
        <w:rPr>
          <w:sz w:val="26"/>
          <w:szCs w:val="26"/>
          <w:u w:val="single"/>
        </w:rPr>
        <w:t>3. Щодо плати за послуги централізованого опалення населення.</w:t>
      </w:r>
      <w:r>
        <w:rPr>
          <w:sz w:val="26"/>
          <w:szCs w:val="26"/>
        </w:rPr>
        <w:t xml:space="preserve"> </w:t>
      </w:r>
      <w:r w:rsidR="008F7C98" w:rsidRPr="008F7C98">
        <w:rPr>
          <w:sz w:val="26"/>
          <w:szCs w:val="26"/>
        </w:rPr>
        <w:t>За інформацією ОКП «Донецьктеплокомуненерго» (далі – Підприємство) відносно виконання постанови Кабінету Міністрів України від 21.07.2005 № 630 «Про затвердження Правил надання послуг з централізованого опалення, постачання холодної та гарячої води і водовідведення та типового договору про надання послуг з централізованого опалення, постачання холодної та гарячої води і водовідведення» (із змінами від 30.10.2015, внесеними постановою № 1037) – у разі відсутності у квартирі (будинку садибного типу) та на вводах у багатоквартирний будинок засобів обліку води і теплової енергії плата за надані послуги справляється згідно з установленими нормативами (нормами) споживання з централізованого опалення - з розрахунку за 1 кв. метр (куб. метр) опалюваної площі (об’єму) квартири (будинку садибного типу) та з урахуванням фактичної температури зовнішнього повітря і фактичної кількості днів надання цієї послуги в місяці, який є розрахунковим.</w:t>
      </w:r>
    </w:p>
    <w:p w:rsidR="008F7C98" w:rsidRPr="008F7C98" w:rsidRDefault="008F7C98" w:rsidP="008F7C98">
      <w:pPr>
        <w:spacing w:line="276" w:lineRule="auto"/>
        <w:ind w:firstLine="708"/>
        <w:jc w:val="both"/>
        <w:rPr>
          <w:sz w:val="26"/>
          <w:szCs w:val="26"/>
        </w:rPr>
      </w:pPr>
      <w:r w:rsidRPr="008F7C98">
        <w:rPr>
          <w:sz w:val="26"/>
          <w:szCs w:val="26"/>
        </w:rPr>
        <w:t xml:space="preserve">Інформація щодо </w:t>
      </w:r>
      <w:proofErr w:type="spellStart"/>
      <w:r w:rsidRPr="008F7C98">
        <w:rPr>
          <w:sz w:val="26"/>
          <w:szCs w:val="26"/>
        </w:rPr>
        <w:t>коригуючих</w:t>
      </w:r>
      <w:proofErr w:type="spellEnd"/>
      <w:r w:rsidRPr="008F7C98">
        <w:rPr>
          <w:sz w:val="26"/>
          <w:szCs w:val="26"/>
        </w:rPr>
        <w:t xml:space="preserve"> коефіцієнтів, які враховують відхилення фактичних показників роботи системи централізованого опалення від показників, врахованих у тарифі, які застосовані ОКП «Донецьктеплокомуненерго», знаходиться у відкритому доступі для споживачів та розміщена на офіційному сайті Підприємства </w:t>
      </w:r>
      <w:r w:rsidRPr="008F7C98">
        <w:rPr>
          <w:sz w:val="26"/>
          <w:szCs w:val="26"/>
        </w:rPr>
        <w:lastRenderedPageBreak/>
        <w:t>(http://kpdtke.donetsk.ua). Крім того, споживачу доводиться інформація щодо фактичного перерахунку його нарахувань, з урахуванням зміни температури зовнішнього повітря, шляхом відображення таких даних у квитанції абонента.</w:t>
      </w:r>
    </w:p>
    <w:p w:rsidR="008F7C98" w:rsidRPr="008F7C98" w:rsidRDefault="008F7C98" w:rsidP="008F7C98">
      <w:pPr>
        <w:spacing w:line="276" w:lineRule="auto"/>
        <w:ind w:firstLine="708"/>
        <w:jc w:val="both"/>
        <w:rPr>
          <w:sz w:val="26"/>
          <w:szCs w:val="26"/>
        </w:rPr>
      </w:pPr>
      <w:r w:rsidRPr="008F7C98">
        <w:rPr>
          <w:sz w:val="26"/>
          <w:szCs w:val="26"/>
        </w:rPr>
        <w:t>Інформація щодо здійснення нарахувань за послуги з централізованого опалення згідно з вимогами постанови КМУ № 1037 надавалась щомісяця до департаменту житлово-комунального господарства Донецької обласної державної адміністрації, а також до Національної комісії, що здійснює державне регулювання у сферах енергетики та комунальних послуг (надалі – НКРЕКП).</w:t>
      </w:r>
    </w:p>
    <w:p w:rsidR="008F7C98" w:rsidRPr="008F7C98" w:rsidRDefault="008F7C98" w:rsidP="008F7C98">
      <w:pPr>
        <w:spacing w:line="276" w:lineRule="auto"/>
        <w:ind w:firstLine="708"/>
        <w:jc w:val="both"/>
        <w:rPr>
          <w:sz w:val="26"/>
          <w:szCs w:val="26"/>
        </w:rPr>
      </w:pPr>
      <w:r w:rsidRPr="008F7C98">
        <w:rPr>
          <w:sz w:val="26"/>
          <w:szCs w:val="26"/>
        </w:rPr>
        <w:t>Тарифи на послуги централізованого опалення для населення приймаються НКРЕКП. Постанова НКРЕКП від 31.03.2016 № 1171 «Про встановлення тарифів на послуги з централізованого опалення та послуги з централізованого постачання гарячої води, що надаються населенню суб’єктами господарювання, які є виконавцями цих послуг» (із відповідними змінами) доступна споживачам та розміщена на офіційному сайті НКРЕКП, а також і на офіційному сайті Підприємства.</w:t>
      </w:r>
    </w:p>
    <w:p w:rsidR="008F7C98" w:rsidRPr="008F7C98" w:rsidRDefault="008F7C98" w:rsidP="008F7C98">
      <w:pPr>
        <w:spacing w:line="276" w:lineRule="auto"/>
        <w:ind w:firstLine="708"/>
        <w:jc w:val="both"/>
        <w:rPr>
          <w:sz w:val="26"/>
          <w:szCs w:val="26"/>
        </w:rPr>
      </w:pPr>
      <w:r w:rsidRPr="008F7C98">
        <w:rPr>
          <w:sz w:val="26"/>
          <w:szCs w:val="26"/>
        </w:rPr>
        <w:t xml:space="preserve">Щомісяця у квитанціях, які надаються споживачам, відображаються: загальна вартість місячного платежу, тариф за </w:t>
      </w:r>
      <w:proofErr w:type="spellStart"/>
      <w:r w:rsidRPr="008F7C98">
        <w:rPr>
          <w:sz w:val="26"/>
          <w:szCs w:val="26"/>
        </w:rPr>
        <w:t>кв.м</w:t>
      </w:r>
      <w:proofErr w:type="spellEnd"/>
      <w:r w:rsidRPr="008F7C98">
        <w:rPr>
          <w:sz w:val="26"/>
          <w:szCs w:val="26"/>
        </w:rPr>
        <w:t xml:space="preserve"> або за </w:t>
      </w:r>
      <w:proofErr w:type="spellStart"/>
      <w:r w:rsidRPr="008F7C98">
        <w:rPr>
          <w:sz w:val="26"/>
          <w:szCs w:val="26"/>
        </w:rPr>
        <w:t>Гкал</w:t>
      </w:r>
      <w:proofErr w:type="spellEnd"/>
      <w:r w:rsidRPr="008F7C98">
        <w:rPr>
          <w:sz w:val="26"/>
          <w:szCs w:val="26"/>
        </w:rPr>
        <w:t>, пільга, субсидія, розмір перерахунку.</w:t>
      </w:r>
    </w:p>
    <w:p w:rsidR="008F7C98" w:rsidRPr="008F7C98" w:rsidRDefault="008F7C98" w:rsidP="008F7C98">
      <w:pPr>
        <w:spacing w:line="276" w:lineRule="auto"/>
        <w:ind w:firstLine="708"/>
        <w:jc w:val="both"/>
        <w:rPr>
          <w:sz w:val="26"/>
          <w:szCs w:val="26"/>
        </w:rPr>
      </w:pPr>
      <w:r w:rsidRPr="008F7C98">
        <w:rPr>
          <w:sz w:val="26"/>
          <w:szCs w:val="26"/>
        </w:rPr>
        <w:t>Порядок нарахування плати за послугу з централізованого опалення для населення (фізичних осіб) визначено нормами постанови КМУ № 630. Складова таких розрахунків міститься у квитанціях на оплату, а також на офіційному сайті Підприємства в розділах «Споживачу» (підрозділи «Для населення», «Тарифи»).</w:t>
      </w:r>
    </w:p>
    <w:p w:rsidR="008F7C98" w:rsidRPr="008F7C98" w:rsidRDefault="008F7C98" w:rsidP="008F7C98">
      <w:pPr>
        <w:spacing w:line="276" w:lineRule="auto"/>
        <w:ind w:firstLine="708"/>
        <w:jc w:val="both"/>
        <w:rPr>
          <w:sz w:val="26"/>
          <w:szCs w:val="26"/>
        </w:rPr>
      </w:pPr>
      <w:r w:rsidRPr="008F7C98">
        <w:rPr>
          <w:sz w:val="26"/>
          <w:szCs w:val="26"/>
        </w:rPr>
        <w:t>Порядок надання послуг передбачено окремим розділом Правил надання послуг з централізованого опалення, постачання холодної та гарячої води і водовідведення, затверджених постановою КМУ від 21.07.2005 № 630. Порядок перевірки кількісних та/або якісних показників надання послуг регламентований пп.33-39 зазначених Правил. Так, в разі ненадання послуг, надання їх не в повному обсязі, зниження якості, зокрема, відхилення їх кількісних та/або якісних показників від затверджених норм споживання, теплопостачальна організація виконує перерахунок розміру плати. Перерахунки за неякісно наданні послуги виконується на підставі своєчасних заяв громадян. На підставі заяв споживача, представник тепломережі та житлової компанії проводять перевірку кількісних та/або якісних показників надання послуг. За результатами перевірки складається акт про неналежне надання або ненадання послуг, із визначенням причин відхилення. На підставі цього житловій компаній видається припис. Після усунення причин – здійснюється контрольне дослідження, а після цього здійснюється перерахунок.</w:t>
      </w:r>
    </w:p>
    <w:p w:rsidR="008F7C98" w:rsidRPr="008F7C98" w:rsidRDefault="008F7C98" w:rsidP="008F7C98">
      <w:pPr>
        <w:spacing w:line="276" w:lineRule="auto"/>
        <w:ind w:firstLine="708"/>
        <w:jc w:val="both"/>
        <w:rPr>
          <w:sz w:val="26"/>
          <w:szCs w:val="26"/>
        </w:rPr>
      </w:pPr>
      <w:r w:rsidRPr="008F7C98">
        <w:rPr>
          <w:sz w:val="26"/>
          <w:szCs w:val="26"/>
        </w:rPr>
        <w:t xml:space="preserve">Повідомляємо, що відповідно до постанови Кабінету Міністрів України від 30.11.2016 № 865 «Про особливості нарахування плати за надану послугу з централізованого опалення населенню у разі відсутності у квартирі (будинку садибного типу) та на вводах у багатоквартирний будинок засобів обліку теплової енергії в опалювальний сезон 2016/17 року», у разі відсутності засобів обліку теплової енергії у населених пунктах з рівнем оснащеності житлового фонду приладами обліку більше 50 %, нарахування плати за надані послуги з централізованого опалення здійснюється на підставі середньозважених для відповідного населеного пункту показників споживання теплової енергії поточного розрахункового періоду, </w:t>
      </w:r>
      <w:r w:rsidRPr="008F7C98">
        <w:rPr>
          <w:sz w:val="26"/>
          <w:szCs w:val="26"/>
        </w:rPr>
        <w:lastRenderedPageBreak/>
        <w:t>виставлених споживачам згідно з показниками будинкових засобів обліку теплової енергії, які перебувають на абонентському обліку виконавця послуг, були повірені та функціонували протягом всього розрахункового періоду.</w:t>
      </w:r>
    </w:p>
    <w:p w:rsidR="008F7C98" w:rsidRPr="008F7C98" w:rsidRDefault="008F7C98" w:rsidP="008F7C98">
      <w:pPr>
        <w:spacing w:line="276" w:lineRule="auto"/>
        <w:ind w:firstLine="708"/>
        <w:jc w:val="both"/>
        <w:rPr>
          <w:sz w:val="26"/>
          <w:szCs w:val="26"/>
        </w:rPr>
      </w:pPr>
      <w:r w:rsidRPr="008F7C98">
        <w:rPr>
          <w:sz w:val="26"/>
          <w:szCs w:val="26"/>
        </w:rPr>
        <w:t>Місто Слов’янськ входить до категорії населених пунктах з рівнем оснащеності житлового фонду приладами обліку більше 50 %. Тому виробничою одиницею ОКП «Донецьктеплокомуненерго» «</w:t>
      </w:r>
      <w:proofErr w:type="spellStart"/>
      <w:r w:rsidRPr="008F7C98">
        <w:rPr>
          <w:sz w:val="26"/>
          <w:szCs w:val="26"/>
        </w:rPr>
        <w:t>Слов’янськтепломережа</w:t>
      </w:r>
      <w:proofErr w:type="spellEnd"/>
      <w:r w:rsidRPr="008F7C98">
        <w:rPr>
          <w:sz w:val="26"/>
          <w:szCs w:val="26"/>
        </w:rPr>
        <w:t>» нарахування за спожиту теплову енергію виконується відповідно до цієї постанови.</w:t>
      </w:r>
    </w:p>
    <w:p w:rsidR="003D3AE8" w:rsidRDefault="008F7C98" w:rsidP="008F7C98">
      <w:pPr>
        <w:spacing w:line="276" w:lineRule="auto"/>
        <w:ind w:firstLine="708"/>
        <w:jc w:val="both"/>
        <w:rPr>
          <w:sz w:val="26"/>
          <w:szCs w:val="26"/>
        </w:rPr>
      </w:pPr>
      <w:r w:rsidRPr="008F7C98">
        <w:rPr>
          <w:sz w:val="26"/>
          <w:szCs w:val="26"/>
        </w:rPr>
        <w:t>Щодо постійних зауважень Шведа А.Г. про незастосування до нього вимог Правил користування тепловою енергією, затверджених постановою Кабінету Міністрів України від 03.10.2007 № 1198. Заявнику неодноразово зазначалось, що ці норми стосуються споживачів теплової енергії - фізичної особи, яка є власником будівлі або суб'єктом підприємницької діяльності, чи юридичної особи. А отже до заявника (як споживача послуг – населення) ці Правила не можуть бути застосовані.</w:t>
      </w:r>
    </w:p>
    <w:p w:rsidR="00062C9A" w:rsidRDefault="00062C9A" w:rsidP="008F7C98">
      <w:pPr>
        <w:spacing w:line="276" w:lineRule="auto"/>
        <w:ind w:firstLine="708"/>
        <w:jc w:val="both"/>
        <w:rPr>
          <w:sz w:val="26"/>
          <w:szCs w:val="26"/>
        </w:rPr>
      </w:pPr>
    </w:p>
    <w:p w:rsidR="00062C9A" w:rsidRDefault="00062C9A" w:rsidP="008F7C98">
      <w:pPr>
        <w:spacing w:line="276" w:lineRule="auto"/>
        <w:ind w:firstLine="708"/>
        <w:jc w:val="both"/>
        <w:rPr>
          <w:sz w:val="26"/>
          <w:szCs w:val="26"/>
          <w:u w:val="single"/>
        </w:rPr>
      </w:pPr>
      <w:r>
        <w:rPr>
          <w:sz w:val="26"/>
          <w:szCs w:val="26"/>
          <w:u w:val="single"/>
        </w:rPr>
        <w:t xml:space="preserve">4. </w:t>
      </w:r>
      <w:r w:rsidRPr="00062C9A">
        <w:rPr>
          <w:sz w:val="26"/>
          <w:szCs w:val="26"/>
          <w:u w:val="single"/>
        </w:rPr>
        <w:t xml:space="preserve">Щодо створення меморіального комплексу на місті психіатричної лікарні у м. Слов’янську (район </w:t>
      </w:r>
      <w:proofErr w:type="spellStart"/>
      <w:r w:rsidRPr="00062C9A">
        <w:rPr>
          <w:sz w:val="26"/>
          <w:szCs w:val="26"/>
          <w:u w:val="single"/>
        </w:rPr>
        <w:t>Семенівки</w:t>
      </w:r>
      <w:proofErr w:type="spellEnd"/>
      <w:r w:rsidRPr="00062C9A">
        <w:rPr>
          <w:sz w:val="26"/>
          <w:szCs w:val="26"/>
          <w:u w:val="single"/>
        </w:rPr>
        <w:t>)</w:t>
      </w:r>
      <w:r>
        <w:rPr>
          <w:sz w:val="26"/>
          <w:szCs w:val="26"/>
          <w:u w:val="single"/>
        </w:rPr>
        <w:t>.</w:t>
      </w:r>
    </w:p>
    <w:p w:rsidR="00062C9A" w:rsidRPr="00062C9A" w:rsidRDefault="00062C9A" w:rsidP="00062C9A">
      <w:pPr>
        <w:spacing w:line="276" w:lineRule="auto"/>
        <w:ind w:firstLine="708"/>
        <w:jc w:val="both"/>
        <w:rPr>
          <w:sz w:val="26"/>
          <w:szCs w:val="26"/>
        </w:rPr>
      </w:pPr>
      <w:r>
        <w:rPr>
          <w:sz w:val="26"/>
          <w:szCs w:val="26"/>
        </w:rPr>
        <w:t xml:space="preserve">Як вам раніше повідомлялося (листом </w:t>
      </w:r>
      <w:r w:rsidRPr="00062C9A">
        <w:rPr>
          <w:sz w:val="26"/>
          <w:szCs w:val="26"/>
        </w:rPr>
        <w:t xml:space="preserve">від 24 січня 2017 року </w:t>
      </w:r>
      <w:r>
        <w:rPr>
          <w:sz w:val="26"/>
          <w:szCs w:val="26"/>
        </w:rPr>
        <w:t xml:space="preserve">                               </w:t>
      </w:r>
      <w:r w:rsidRPr="00062C9A">
        <w:rPr>
          <w:sz w:val="26"/>
          <w:szCs w:val="26"/>
        </w:rPr>
        <w:t>№ 1 вх.01-09046-15я/01</w:t>
      </w:r>
      <w:r>
        <w:rPr>
          <w:sz w:val="26"/>
          <w:szCs w:val="26"/>
        </w:rPr>
        <w:t>), к</w:t>
      </w:r>
      <w:r w:rsidRPr="00062C9A">
        <w:rPr>
          <w:sz w:val="26"/>
          <w:szCs w:val="26"/>
        </w:rPr>
        <w:t xml:space="preserve">омунальна лікувально–профілактична установа «Обласна клінічна психіатрична лікарня м. Слов’янськ»  є єдиним закладом у Донецькій області для надання психіатричної допомоги, що містить потужний ліжковий фонд, а також відділення для лікування дітей з психічними захворюваннями. На даний час лікарня розташована на орендованих площах і надає стаціонарну та амбулаторну  психіатричну, психологічну, психотерапевтичну та медико-соціальну допомогу мешканцям області, внутрішньо переміщеним особам, учасникам АТО. Працівники закладу працюють з перевантаженням. </w:t>
      </w:r>
    </w:p>
    <w:p w:rsidR="00062C9A" w:rsidRPr="00062C9A" w:rsidRDefault="00062C9A" w:rsidP="00062C9A">
      <w:pPr>
        <w:spacing w:line="276" w:lineRule="auto"/>
        <w:ind w:firstLine="708"/>
        <w:jc w:val="both"/>
        <w:rPr>
          <w:sz w:val="26"/>
          <w:szCs w:val="26"/>
        </w:rPr>
      </w:pPr>
      <w:r w:rsidRPr="00062C9A">
        <w:rPr>
          <w:sz w:val="26"/>
          <w:szCs w:val="26"/>
        </w:rPr>
        <w:t>Протягом 2015-2016 років проводились роботи щодо відбудови закладу. У 2016 відновило роботу психотуберкульозне відділення (єдине в області), підготовлено проектно-кошторисну документацію та завершено експертизу для відбудови дитячого психіатричного відділення.</w:t>
      </w:r>
      <w:r w:rsidR="00F91FAA">
        <w:rPr>
          <w:sz w:val="26"/>
          <w:szCs w:val="26"/>
        </w:rPr>
        <w:t xml:space="preserve"> </w:t>
      </w:r>
      <w:r w:rsidR="00F52647">
        <w:rPr>
          <w:sz w:val="26"/>
          <w:szCs w:val="26"/>
        </w:rPr>
        <w:t>Кошти на реалізацію проекту виділить Люксембурзький Червоний Хрест в Україні. За рахунок другого траншу коштів Європейського Інвестиційного Банку в межах проекту «Надзвичайна кредитна програма для відновлення України» передбачено здійснення капітального ремонту (термомодернізації) будівлі КЛПУ «Обласна психіатрична лікарня м. </w:t>
      </w:r>
      <w:proofErr w:type="spellStart"/>
      <w:r w:rsidR="00F52647">
        <w:rPr>
          <w:sz w:val="26"/>
          <w:szCs w:val="26"/>
        </w:rPr>
        <w:t>Словянська</w:t>
      </w:r>
      <w:proofErr w:type="spellEnd"/>
      <w:r w:rsidR="00F52647">
        <w:rPr>
          <w:sz w:val="26"/>
          <w:szCs w:val="26"/>
        </w:rPr>
        <w:t xml:space="preserve">». </w:t>
      </w:r>
      <w:r w:rsidRPr="00062C9A">
        <w:rPr>
          <w:sz w:val="26"/>
          <w:szCs w:val="26"/>
        </w:rPr>
        <w:t xml:space="preserve"> Також вирішене питання про надання коштів Всесвітнім банком реконструкції та розвитку для створення проектно-кошторисної документації на проведення відновлювальних робіт головного корпусу лікарні та допоміжних служб, проведено експертизу залишків зруйнованих будівель щодо можливості реконструкції деяких з них.</w:t>
      </w:r>
    </w:p>
    <w:p w:rsidR="00CA7D82" w:rsidRDefault="00062C9A" w:rsidP="00CA7D82">
      <w:pPr>
        <w:spacing w:line="276" w:lineRule="auto"/>
        <w:ind w:firstLine="708"/>
        <w:jc w:val="both"/>
        <w:rPr>
          <w:sz w:val="26"/>
          <w:szCs w:val="26"/>
        </w:rPr>
      </w:pPr>
      <w:r w:rsidRPr="00062C9A">
        <w:rPr>
          <w:sz w:val="26"/>
          <w:szCs w:val="26"/>
        </w:rPr>
        <w:t xml:space="preserve">Відновлений потужний спеціалізований заклад охорони здоров’я на місці зруйнованих будівель буде служити найціннішою пам’яткою про події 2014 року. Повернення колективу закладу на свої робочі місця та забезпечення мешканців області високоякісною психіатричною допомогою в комфортних умовах буде значним внеском та важливим показником розвитку та зміцнення Донеччини. Враховуючи викладене, вважаємо за недоцільне створення на місці психіатричної </w:t>
      </w:r>
      <w:r w:rsidRPr="00062C9A">
        <w:rPr>
          <w:sz w:val="26"/>
          <w:szCs w:val="26"/>
        </w:rPr>
        <w:lastRenderedPageBreak/>
        <w:t>лікарні меморіального</w:t>
      </w:r>
      <w:r w:rsidR="00174FBE">
        <w:rPr>
          <w:sz w:val="26"/>
          <w:szCs w:val="26"/>
        </w:rPr>
        <w:t xml:space="preserve"> комплексу</w:t>
      </w:r>
      <w:r w:rsidRPr="00062C9A">
        <w:rPr>
          <w:sz w:val="26"/>
          <w:szCs w:val="26"/>
        </w:rPr>
        <w:t xml:space="preserve"> з увічнення пам’яті про жахливі наслідки російської військової агресії проти України.</w:t>
      </w:r>
      <w:r w:rsidR="00CA7D82">
        <w:rPr>
          <w:sz w:val="26"/>
          <w:szCs w:val="26"/>
        </w:rPr>
        <w:t xml:space="preserve"> </w:t>
      </w:r>
    </w:p>
    <w:p w:rsidR="00172C41" w:rsidRDefault="00172C41" w:rsidP="00062C9A">
      <w:pPr>
        <w:spacing w:line="276" w:lineRule="auto"/>
        <w:ind w:firstLine="708"/>
        <w:jc w:val="both"/>
        <w:rPr>
          <w:sz w:val="26"/>
          <w:szCs w:val="26"/>
          <w:u w:val="single"/>
        </w:rPr>
      </w:pPr>
    </w:p>
    <w:p w:rsidR="00062C9A" w:rsidRPr="00062C9A" w:rsidRDefault="00E75D87" w:rsidP="00062C9A">
      <w:pPr>
        <w:spacing w:line="276" w:lineRule="auto"/>
        <w:ind w:firstLine="708"/>
        <w:jc w:val="both"/>
        <w:rPr>
          <w:sz w:val="26"/>
          <w:szCs w:val="26"/>
          <w:u w:val="single"/>
        </w:rPr>
      </w:pPr>
      <w:r>
        <w:rPr>
          <w:sz w:val="26"/>
          <w:szCs w:val="26"/>
          <w:u w:val="single"/>
        </w:rPr>
        <w:t xml:space="preserve">5. </w:t>
      </w:r>
      <w:r w:rsidR="00062C9A" w:rsidRPr="00062C9A">
        <w:rPr>
          <w:sz w:val="26"/>
          <w:szCs w:val="26"/>
          <w:u w:val="single"/>
        </w:rPr>
        <w:t>Щодо перейменування вулиці 60 років утворення СРС</w:t>
      </w:r>
      <w:r w:rsidR="006D50FD">
        <w:rPr>
          <w:sz w:val="26"/>
          <w:szCs w:val="26"/>
          <w:u w:val="single"/>
        </w:rPr>
        <w:t>Р</w:t>
      </w:r>
      <w:r w:rsidR="00062C9A" w:rsidRPr="00062C9A">
        <w:rPr>
          <w:sz w:val="26"/>
          <w:szCs w:val="26"/>
          <w:u w:val="single"/>
        </w:rPr>
        <w:t xml:space="preserve"> в місті Бахмуті</w:t>
      </w:r>
    </w:p>
    <w:p w:rsidR="00062C9A" w:rsidRPr="00062C9A" w:rsidRDefault="00062C9A" w:rsidP="00062C9A">
      <w:pPr>
        <w:spacing w:line="276" w:lineRule="auto"/>
        <w:ind w:firstLine="708"/>
        <w:jc w:val="both"/>
        <w:rPr>
          <w:sz w:val="26"/>
          <w:szCs w:val="26"/>
        </w:rPr>
      </w:pPr>
      <w:r w:rsidRPr="00062C9A">
        <w:rPr>
          <w:sz w:val="26"/>
          <w:szCs w:val="26"/>
        </w:rPr>
        <w:t xml:space="preserve">Відповідно до Закону України «Про засудження комуністичного та націонал-соціалістичного (нацистського) тоталітарних режимів в Україні та заборону пропаганди їхньої символіки» голова облдержадміністрації, керівник обласної військово-цивільної адміністрації на даний час не має повноважень здійснювати перейменування районів у містах, скверів, вулиць, провулків, проїздів, проспектів, площ, майданів, набережних мостів чи інших об’єктів топоніміки населених пунктів, назви яких містять символіку комуністичного тоталітарного режиму. </w:t>
      </w:r>
    </w:p>
    <w:p w:rsidR="00062C9A" w:rsidRPr="00062C9A" w:rsidRDefault="00062C9A" w:rsidP="00062C9A">
      <w:pPr>
        <w:spacing w:line="276" w:lineRule="auto"/>
        <w:ind w:firstLine="708"/>
        <w:jc w:val="both"/>
        <w:rPr>
          <w:sz w:val="26"/>
          <w:szCs w:val="26"/>
        </w:rPr>
      </w:pPr>
      <w:r w:rsidRPr="00062C9A">
        <w:rPr>
          <w:sz w:val="26"/>
          <w:szCs w:val="26"/>
        </w:rPr>
        <w:t>Норми Цивільного кодексу України, Конституції України, закони України «Про місцеве самоврядування в Україні», «Про географічні назви», «Про присвоєння юридичним особам та об’єктам права власності імен (псевдонімів) фізичних осіб, ювілейних та святкових дат, назв і дат історичних подій», постанови Кабінету Міністрів України від 24 жовтня 2012 року № 989 «Про затвердження порядку проведення громадського обговорення під час розгляду питань про присвоєння юридичним особам та об’єктам права власності, які за ними закріплені, об’єктам права власності, які належать фізичним особам, імен (псевдонімів) фізичних осіб, ювілейних та святкових дат, назв і дат історичних подій» дають підстави визначити певний алгоритм дій органу місцевого самоврядування перед остаточним прийняттям рішення про перейменування вулиць, провулків, проспектів, площ, парків, скверів, мостів та інших споруд на території відповідного населеного пункту.</w:t>
      </w:r>
    </w:p>
    <w:p w:rsidR="00062C9A" w:rsidRPr="00062C9A" w:rsidRDefault="00062C9A" w:rsidP="00062C9A">
      <w:pPr>
        <w:spacing w:line="276" w:lineRule="auto"/>
        <w:ind w:firstLine="708"/>
        <w:jc w:val="both"/>
        <w:rPr>
          <w:sz w:val="26"/>
          <w:szCs w:val="26"/>
        </w:rPr>
      </w:pPr>
      <w:r w:rsidRPr="00062C9A">
        <w:rPr>
          <w:sz w:val="26"/>
          <w:szCs w:val="26"/>
        </w:rPr>
        <w:t>Слід зазначити що пропозиції щодо найменування (перейменування) мають як фізичні, так і юридичні особи (тобто ініціатором можуть виступати, наприклад, жителі відповідної адміністративно-територіальної одиниці або ж частини цієї одиниці окремо, відповідні підприємства, установи та організації, в тому числі громадські та інші).</w:t>
      </w:r>
    </w:p>
    <w:p w:rsidR="00062C9A" w:rsidRPr="00062C9A" w:rsidRDefault="00062C9A" w:rsidP="00062C9A">
      <w:pPr>
        <w:spacing w:line="276" w:lineRule="auto"/>
        <w:ind w:firstLine="708"/>
        <w:jc w:val="both"/>
        <w:rPr>
          <w:sz w:val="26"/>
          <w:szCs w:val="26"/>
        </w:rPr>
      </w:pPr>
      <w:r w:rsidRPr="00062C9A">
        <w:rPr>
          <w:sz w:val="26"/>
          <w:szCs w:val="26"/>
        </w:rPr>
        <w:t>Найменування та перейменування географічних об'єктів у межах визначених законом повноважень здійснюють: районні ради – щодо географічних об'єктів, розташованих на території кількох сіл, селищ чи міст у межах відповідного району; сільські, селищні, міські ради – щодо географічних об'єктів, розташованих відповідно на території села, селища, міста.</w:t>
      </w:r>
    </w:p>
    <w:p w:rsidR="00062C9A" w:rsidRPr="00062C9A" w:rsidRDefault="00062C9A" w:rsidP="00062C9A">
      <w:pPr>
        <w:spacing w:line="276" w:lineRule="auto"/>
        <w:ind w:firstLine="708"/>
        <w:jc w:val="both"/>
        <w:rPr>
          <w:sz w:val="26"/>
          <w:szCs w:val="26"/>
        </w:rPr>
      </w:pPr>
      <w:r w:rsidRPr="00062C9A">
        <w:rPr>
          <w:sz w:val="26"/>
          <w:szCs w:val="26"/>
        </w:rPr>
        <w:t>Крім того необхідно зауважити, що у разі, якщо у фізичної особи, чиє ім’я пропонується присвоїти об’єкту топоніміки  є родичі (діти, вдова, вдівець, а якщо їх немає – батьки, рідні брати та сестри), необхідно отримати їх письмову згоду на присвоєння імені.</w:t>
      </w:r>
    </w:p>
    <w:p w:rsidR="00172C41" w:rsidRDefault="00172C41" w:rsidP="00062C9A">
      <w:pPr>
        <w:spacing w:line="276" w:lineRule="auto"/>
        <w:ind w:firstLine="708"/>
        <w:jc w:val="both"/>
        <w:rPr>
          <w:sz w:val="26"/>
          <w:szCs w:val="26"/>
          <w:u w:val="single"/>
        </w:rPr>
      </w:pPr>
    </w:p>
    <w:p w:rsidR="00062C9A" w:rsidRPr="00062C9A" w:rsidRDefault="00F854F6" w:rsidP="00062C9A">
      <w:pPr>
        <w:spacing w:line="276" w:lineRule="auto"/>
        <w:ind w:firstLine="708"/>
        <w:jc w:val="both"/>
        <w:rPr>
          <w:sz w:val="26"/>
          <w:szCs w:val="26"/>
          <w:u w:val="single"/>
        </w:rPr>
      </w:pPr>
      <w:r>
        <w:rPr>
          <w:sz w:val="26"/>
          <w:szCs w:val="26"/>
          <w:u w:val="single"/>
        </w:rPr>
        <w:t>6</w:t>
      </w:r>
      <w:r w:rsidR="00062C9A">
        <w:rPr>
          <w:sz w:val="26"/>
          <w:szCs w:val="26"/>
          <w:u w:val="single"/>
        </w:rPr>
        <w:t xml:space="preserve">. </w:t>
      </w:r>
      <w:r w:rsidR="00062C9A" w:rsidRPr="00062C9A">
        <w:rPr>
          <w:sz w:val="26"/>
          <w:szCs w:val="26"/>
          <w:u w:val="single"/>
        </w:rPr>
        <w:t>Щодо процедури кадрових призначень через попереднє узгодження кандидатур Громадською радою.</w:t>
      </w:r>
    </w:p>
    <w:p w:rsidR="00062C9A" w:rsidRPr="00062C9A" w:rsidRDefault="00062C9A" w:rsidP="00062C9A">
      <w:pPr>
        <w:spacing w:line="276" w:lineRule="auto"/>
        <w:ind w:firstLine="708"/>
        <w:jc w:val="both"/>
        <w:rPr>
          <w:sz w:val="26"/>
          <w:szCs w:val="26"/>
        </w:rPr>
      </w:pPr>
      <w:r w:rsidRPr="00062C9A">
        <w:rPr>
          <w:sz w:val="26"/>
          <w:szCs w:val="26"/>
        </w:rPr>
        <w:t>Відповідно до статті 21 Закону України «Про державну службу» (далі - Закон) вступ на державну службу здійснюється шляхом призначення громадянина України на посаду державної служби за результатами конкурсу.</w:t>
      </w:r>
    </w:p>
    <w:p w:rsidR="00062C9A" w:rsidRPr="00062C9A" w:rsidRDefault="00062C9A" w:rsidP="00062C9A">
      <w:pPr>
        <w:spacing w:line="276" w:lineRule="auto"/>
        <w:ind w:firstLine="708"/>
        <w:jc w:val="both"/>
        <w:rPr>
          <w:sz w:val="26"/>
          <w:szCs w:val="26"/>
        </w:rPr>
      </w:pPr>
      <w:r w:rsidRPr="00062C9A">
        <w:rPr>
          <w:sz w:val="26"/>
          <w:szCs w:val="26"/>
        </w:rPr>
        <w:lastRenderedPageBreak/>
        <w:t>Постановою Кабінету Міністрів України «Про затвердження Порядку проведення конкурсу на зайняття посад державної служби» визначено порядок проведення конкурсу на зайняття посад державної служби. Проведення конкурсу здійснюється відповідно до вимог до професійної компетентності кандидата на вакантну посаду державної служби на основі оцінювання його особистих досягнень, знань, умінь і навичок, моральних і ділових якостей для належного виконання посадових обов’язків.</w:t>
      </w:r>
    </w:p>
    <w:p w:rsidR="00062C9A" w:rsidRPr="00062C9A" w:rsidRDefault="00062C9A" w:rsidP="00062C9A">
      <w:pPr>
        <w:spacing w:line="276" w:lineRule="auto"/>
        <w:ind w:firstLine="708"/>
        <w:jc w:val="both"/>
        <w:rPr>
          <w:sz w:val="26"/>
          <w:szCs w:val="26"/>
        </w:rPr>
      </w:pPr>
      <w:r w:rsidRPr="00062C9A">
        <w:rPr>
          <w:sz w:val="26"/>
          <w:szCs w:val="26"/>
        </w:rPr>
        <w:t xml:space="preserve">Статтею 28 Закону остаточне рішення про призначення приймається керівником державної служби за результатами спеціальної перевірки відповідно до Закону України «Про запобігання корупції» та за результатами перевірки відповідно до Закону України «Про очищення влади». </w:t>
      </w:r>
    </w:p>
    <w:p w:rsidR="00062C9A" w:rsidRDefault="00062C9A" w:rsidP="00062C9A">
      <w:pPr>
        <w:spacing w:line="276" w:lineRule="auto"/>
        <w:ind w:firstLine="708"/>
        <w:jc w:val="both"/>
        <w:rPr>
          <w:sz w:val="26"/>
          <w:szCs w:val="26"/>
        </w:rPr>
      </w:pPr>
      <w:r w:rsidRPr="00062C9A">
        <w:rPr>
          <w:sz w:val="26"/>
          <w:szCs w:val="26"/>
        </w:rPr>
        <w:t>Іншої процедури погодження призначення на посади державної служби не передбачено.</w:t>
      </w:r>
    </w:p>
    <w:p w:rsidR="00760924" w:rsidRDefault="00760924" w:rsidP="00964D8A">
      <w:pPr>
        <w:spacing w:line="276" w:lineRule="auto"/>
        <w:ind w:firstLine="708"/>
        <w:jc w:val="both"/>
        <w:rPr>
          <w:sz w:val="26"/>
          <w:szCs w:val="26"/>
        </w:rPr>
      </w:pPr>
    </w:p>
    <w:p w:rsidR="00720C2C" w:rsidRPr="009C2EA9" w:rsidRDefault="00720C2C" w:rsidP="00BC52CA">
      <w:pPr>
        <w:tabs>
          <w:tab w:val="left" w:pos="5387"/>
        </w:tabs>
        <w:ind w:left="5387"/>
        <w:rPr>
          <w:sz w:val="28"/>
          <w:szCs w:val="28"/>
        </w:rPr>
      </w:pPr>
      <w:bookmarkStart w:id="0" w:name="_GoBack"/>
      <w:bookmarkEnd w:id="0"/>
    </w:p>
    <w:sectPr w:rsidR="00720C2C" w:rsidRPr="009C2EA9" w:rsidSect="008A4F05">
      <w:headerReference w:type="default" r:id="rId9"/>
      <w:pgSz w:w="11906" w:h="16838"/>
      <w:pgMar w:top="851" w:right="707" w:bottom="426"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04D" w:rsidRDefault="00A4304D" w:rsidP="004258ED">
      <w:r>
        <w:separator/>
      </w:r>
    </w:p>
  </w:endnote>
  <w:endnote w:type="continuationSeparator" w:id="0">
    <w:p w:rsidR="00A4304D" w:rsidRDefault="00A4304D" w:rsidP="0042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04D" w:rsidRDefault="00A4304D" w:rsidP="004258ED">
      <w:r>
        <w:separator/>
      </w:r>
    </w:p>
  </w:footnote>
  <w:footnote w:type="continuationSeparator" w:id="0">
    <w:p w:rsidR="00A4304D" w:rsidRDefault="00A4304D" w:rsidP="00425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0241328"/>
      <w:docPartObj>
        <w:docPartGallery w:val="Page Numbers (Top of Page)"/>
        <w:docPartUnique/>
      </w:docPartObj>
    </w:sdtPr>
    <w:sdtEndPr/>
    <w:sdtContent>
      <w:p w:rsidR="008A4F05" w:rsidRDefault="008A4F05">
        <w:pPr>
          <w:pStyle w:val="a6"/>
          <w:jc w:val="center"/>
        </w:pPr>
        <w:r>
          <w:fldChar w:fldCharType="begin"/>
        </w:r>
        <w:r>
          <w:instrText>PAGE   \* MERGEFORMAT</w:instrText>
        </w:r>
        <w:r>
          <w:fldChar w:fldCharType="separate"/>
        </w:r>
        <w:r w:rsidR="00172C41" w:rsidRPr="00172C41">
          <w:rPr>
            <w:noProof/>
            <w:lang w:val="ru-RU"/>
          </w:rPr>
          <w:t>8</w:t>
        </w:r>
        <w:r>
          <w:fldChar w:fldCharType="end"/>
        </w:r>
      </w:p>
    </w:sdtContent>
  </w:sdt>
  <w:p w:rsidR="004258ED" w:rsidRDefault="004258E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57E6C"/>
    <w:multiLevelType w:val="hybridMultilevel"/>
    <w:tmpl w:val="129AFB80"/>
    <w:lvl w:ilvl="0" w:tplc="F0441D34">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362578E"/>
    <w:multiLevelType w:val="hybridMultilevel"/>
    <w:tmpl w:val="EDB26290"/>
    <w:lvl w:ilvl="0" w:tplc="6030760A">
      <w:start w:val="1"/>
      <w:numFmt w:val="decimal"/>
      <w:lvlText w:val="%1."/>
      <w:lvlJc w:val="left"/>
      <w:pPr>
        <w:ind w:left="1069" w:hanging="360"/>
      </w:pPr>
      <w:rPr>
        <w:rFonts w:hint="default"/>
        <w:u w:val="singl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5C672AD"/>
    <w:multiLevelType w:val="hybridMultilevel"/>
    <w:tmpl w:val="342A86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C5D4CBD"/>
    <w:multiLevelType w:val="hybridMultilevel"/>
    <w:tmpl w:val="81E6B9A0"/>
    <w:lvl w:ilvl="0" w:tplc="0256DCF0">
      <w:start w:val="1"/>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7BA"/>
    <w:rsid w:val="000034EC"/>
    <w:rsid w:val="00017CE4"/>
    <w:rsid w:val="0002730B"/>
    <w:rsid w:val="000274AD"/>
    <w:rsid w:val="0003504E"/>
    <w:rsid w:val="00037CED"/>
    <w:rsid w:val="00055989"/>
    <w:rsid w:val="00056790"/>
    <w:rsid w:val="00062220"/>
    <w:rsid w:val="00062C9A"/>
    <w:rsid w:val="00077588"/>
    <w:rsid w:val="000A164D"/>
    <w:rsid w:val="000C2052"/>
    <w:rsid w:val="000C7BCA"/>
    <w:rsid w:val="000D5724"/>
    <w:rsid w:val="000F0B0F"/>
    <w:rsid w:val="000F590D"/>
    <w:rsid w:val="000F6E7B"/>
    <w:rsid w:val="001029D0"/>
    <w:rsid w:val="001169D3"/>
    <w:rsid w:val="00165BBD"/>
    <w:rsid w:val="00172C41"/>
    <w:rsid w:val="00174FBE"/>
    <w:rsid w:val="00194FF0"/>
    <w:rsid w:val="00195E6D"/>
    <w:rsid w:val="001A62A0"/>
    <w:rsid w:val="001B7314"/>
    <w:rsid w:val="002075DB"/>
    <w:rsid w:val="00212C01"/>
    <w:rsid w:val="00213C87"/>
    <w:rsid w:val="002267C3"/>
    <w:rsid w:val="002420C6"/>
    <w:rsid w:val="002524A5"/>
    <w:rsid w:val="00255585"/>
    <w:rsid w:val="002657E8"/>
    <w:rsid w:val="00280299"/>
    <w:rsid w:val="0028315A"/>
    <w:rsid w:val="002A0C3F"/>
    <w:rsid w:val="002C5081"/>
    <w:rsid w:val="002D2D5A"/>
    <w:rsid w:val="002D34C7"/>
    <w:rsid w:val="002D5CEE"/>
    <w:rsid w:val="002E1E29"/>
    <w:rsid w:val="002F09B4"/>
    <w:rsid w:val="00317F64"/>
    <w:rsid w:val="00360286"/>
    <w:rsid w:val="0036427B"/>
    <w:rsid w:val="003760D8"/>
    <w:rsid w:val="00392667"/>
    <w:rsid w:val="003969D2"/>
    <w:rsid w:val="003B2143"/>
    <w:rsid w:val="003B59A6"/>
    <w:rsid w:val="003C11A3"/>
    <w:rsid w:val="003C5A1C"/>
    <w:rsid w:val="003D2358"/>
    <w:rsid w:val="003D3AE8"/>
    <w:rsid w:val="0040597E"/>
    <w:rsid w:val="004168D8"/>
    <w:rsid w:val="004178B0"/>
    <w:rsid w:val="004235BC"/>
    <w:rsid w:val="004258ED"/>
    <w:rsid w:val="00442327"/>
    <w:rsid w:val="004519C5"/>
    <w:rsid w:val="00457E7A"/>
    <w:rsid w:val="004611E6"/>
    <w:rsid w:val="00473711"/>
    <w:rsid w:val="004820A2"/>
    <w:rsid w:val="0048740E"/>
    <w:rsid w:val="004879D8"/>
    <w:rsid w:val="0049353E"/>
    <w:rsid w:val="00494AFB"/>
    <w:rsid w:val="004A192B"/>
    <w:rsid w:val="004A6D99"/>
    <w:rsid w:val="004B2E3D"/>
    <w:rsid w:val="004B35E1"/>
    <w:rsid w:val="004C1738"/>
    <w:rsid w:val="004D0735"/>
    <w:rsid w:val="004D7667"/>
    <w:rsid w:val="004F07BA"/>
    <w:rsid w:val="004F73E5"/>
    <w:rsid w:val="005005FC"/>
    <w:rsid w:val="00501839"/>
    <w:rsid w:val="00507607"/>
    <w:rsid w:val="00511104"/>
    <w:rsid w:val="0052280F"/>
    <w:rsid w:val="005250A1"/>
    <w:rsid w:val="005259DB"/>
    <w:rsid w:val="00532ED1"/>
    <w:rsid w:val="00535D56"/>
    <w:rsid w:val="005409C0"/>
    <w:rsid w:val="00551577"/>
    <w:rsid w:val="00553108"/>
    <w:rsid w:val="00554AE0"/>
    <w:rsid w:val="00564B02"/>
    <w:rsid w:val="00565F5E"/>
    <w:rsid w:val="00573E79"/>
    <w:rsid w:val="005A0877"/>
    <w:rsid w:val="005A0888"/>
    <w:rsid w:val="005C4896"/>
    <w:rsid w:val="005C7C18"/>
    <w:rsid w:val="005C7E4C"/>
    <w:rsid w:val="005F2E89"/>
    <w:rsid w:val="00632BCC"/>
    <w:rsid w:val="00643EEC"/>
    <w:rsid w:val="00645C40"/>
    <w:rsid w:val="0066515B"/>
    <w:rsid w:val="006705CF"/>
    <w:rsid w:val="00670D87"/>
    <w:rsid w:val="00680B53"/>
    <w:rsid w:val="00682241"/>
    <w:rsid w:val="00682E17"/>
    <w:rsid w:val="00697458"/>
    <w:rsid w:val="006A10E5"/>
    <w:rsid w:val="006A4D39"/>
    <w:rsid w:val="006A5EE2"/>
    <w:rsid w:val="006B6AD1"/>
    <w:rsid w:val="006D50FD"/>
    <w:rsid w:val="006E755B"/>
    <w:rsid w:val="006F6DA0"/>
    <w:rsid w:val="007062DB"/>
    <w:rsid w:val="00714D90"/>
    <w:rsid w:val="00714FF8"/>
    <w:rsid w:val="00720C2C"/>
    <w:rsid w:val="007229DB"/>
    <w:rsid w:val="00760924"/>
    <w:rsid w:val="00763E8D"/>
    <w:rsid w:val="00765754"/>
    <w:rsid w:val="00772719"/>
    <w:rsid w:val="00786A33"/>
    <w:rsid w:val="00797B9A"/>
    <w:rsid w:val="007A4B1E"/>
    <w:rsid w:val="007A545F"/>
    <w:rsid w:val="007A5C0F"/>
    <w:rsid w:val="007A7DD9"/>
    <w:rsid w:val="007B32E2"/>
    <w:rsid w:val="007D4D4C"/>
    <w:rsid w:val="007E1414"/>
    <w:rsid w:val="007E77D0"/>
    <w:rsid w:val="007F7397"/>
    <w:rsid w:val="00820EF3"/>
    <w:rsid w:val="008236FD"/>
    <w:rsid w:val="008260D2"/>
    <w:rsid w:val="00837BCD"/>
    <w:rsid w:val="00841D03"/>
    <w:rsid w:val="00875EEE"/>
    <w:rsid w:val="00887A5F"/>
    <w:rsid w:val="00894DC2"/>
    <w:rsid w:val="008A1D67"/>
    <w:rsid w:val="008A4F05"/>
    <w:rsid w:val="008B398F"/>
    <w:rsid w:val="008F7C98"/>
    <w:rsid w:val="009041AA"/>
    <w:rsid w:val="0091695B"/>
    <w:rsid w:val="00916B3F"/>
    <w:rsid w:val="00926EE0"/>
    <w:rsid w:val="009407FF"/>
    <w:rsid w:val="009527F9"/>
    <w:rsid w:val="00962242"/>
    <w:rsid w:val="00964D8A"/>
    <w:rsid w:val="00981A85"/>
    <w:rsid w:val="009A0989"/>
    <w:rsid w:val="009B6473"/>
    <w:rsid w:val="009C2EA9"/>
    <w:rsid w:val="009C46C2"/>
    <w:rsid w:val="009E1520"/>
    <w:rsid w:val="009F3D57"/>
    <w:rsid w:val="00A04232"/>
    <w:rsid w:val="00A04BCD"/>
    <w:rsid w:val="00A2495B"/>
    <w:rsid w:val="00A369FA"/>
    <w:rsid w:val="00A4304D"/>
    <w:rsid w:val="00A4327A"/>
    <w:rsid w:val="00A43B9E"/>
    <w:rsid w:val="00A5198B"/>
    <w:rsid w:val="00A63819"/>
    <w:rsid w:val="00A71089"/>
    <w:rsid w:val="00A83F63"/>
    <w:rsid w:val="00A97D2F"/>
    <w:rsid w:val="00AB0651"/>
    <w:rsid w:val="00AC0F86"/>
    <w:rsid w:val="00AC3620"/>
    <w:rsid w:val="00AE719B"/>
    <w:rsid w:val="00AF1EB7"/>
    <w:rsid w:val="00B03DF8"/>
    <w:rsid w:val="00B05797"/>
    <w:rsid w:val="00B308F8"/>
    <w:rsid w:val="00B325F4"/>
    <w:rsid w:val="00B57520"/>
    <w:rsid w:val="00B63975"/>
    <w:rsid w:val="00B67B2D"/>
    <w:rsid w:val="00B959CF"/>
    <w:rsid w:val="00BA0769"/>
    <w:rsid w:val="00BA627F"/>
    <w:rsid w:val="00BB15E1"/>
    <w:rsid w:val="00BB6D5B"/>
    <w:rsid w:val="00BC05C0"/>
    <w:rsid w:val="00BC52CA"/>
    <w:rsid w:val="00BE20CA"/>
    <w:rsid w:val="00BE4CB2"/>
    <w:rsid w:val="00BE590D"/>
    <w:rsid w:val="00BF4703"/>
    <w:rsid w:val="00BF5263"/>
    <w:rsid w:val="00BF68C6"/>
    <w:rsid w:val="00C01BAB"/>
    <w:rsid w:val="00C070E7"/>
    <w:rsid w:val="00C17AB0"/>
    <w:rsid w:val="00C306DE"/>
    <w:rsid w:val="00C4598D"/>
    <w:rsid w:val="00C56612"/>
    <w:rsid w:val="00C7132E"/>
    <w:rsid w:val="00C837BC"/>
    <w:rsid w:val="00CA7D82"/>
    <w:rsid w:val="00CC1D6C"/>
    <w:rsid w:val="00CD275D"/>
    <w:rsid w:val="00CD5D61"/>
    <w:rsid w:val="00CE627B"/>
    <w:rsid w:val="00CE7F43"/>
    <w:rsid w:val="00CF334D"/>
    <w:rsid w:val="00D03818"/>
    <w:rsid w:val="00D23D76"/>
    <w:rsid w:val="00D264F9"/>
    <w:rsid w:val="00D376C1"/>
    <w:rsid w:val="00D42D76"/>
    <w:rsid w:val="00D50628"/>
    <w:rsid w:val="00D639F2"/>
    <w:rsid w:val="00D776B8"/>
    <w:rsid w:val="00D878A4"/>
    <w:rsid w:val="00D978F5"/>
    <w:rsid w:val="00DA7D72"/>
    <w:rsid w:val="00DB0479"/>
    <w:rsid w:val="00DB648A"/>
    <w:rsid w:val="00DC2531"/>
    <w:rsid w:val="00DC60C1"/>
    <w:rsid w:val="00DC7E58"/>
    <w:rsid w:val="00DD1D77"/>
    <w:rsid w:val="00DD229B"/>
    <w:rsid w:val="00DD7FD3"/>
    <w:rsid w:val="00DF4574"/>
    <w:rsid w:val="00DF4B85"/>
    <w:rsid w:val="00DF55C2"/>
    <w:rsid w:val="00E02109"/>
    <w:rsid w:val="00E03879"/>
    <w:rsid w:val="00E06102"/>
    <w:rsid w:val="00E24DC9"/>
    <w:rsid w:val="00E271ED"/>
    <w:rsid w:val="00E50372"/>
    <w:rsid w:val="00E75D87"/>
    <w:rsid w:val="00E76EBA"/>
    <w:rsid w:val="00E86A37"/>
    <w:rsid w:val="00E91873"/>
    <w:rsid w:val="00E93D33"/>
    <w:rsid w:val="00ED6683"/>
    <w:rsid w:val="00EF67BF"/>
    <w:rsid w:val="00F03233"/>
    <w:rsid w:val="00F208A9"/>
    <w:rsid w:val="00F22520"/>
    <w:rsid w:val="00F34107"/>
    <w:rsid w:val="00F44B40"/>
    <w:rsid w:val="00F45363"/>
    <w:rsid w:val="00F52647"/>
    <w:rsid w:val="00F52BA2"/>
    <w:rsid w:val="00F70FB5"/>
    <w:rsid w:val="00F8210C"/>
    <w:rsid w:val="00F849C9"/>
    <w:rsid w:val="00F854F6"/>
    <w:rsid w:val="00F91FAA"/>
    <w:rsid w:val="00FA23BF"/>
    <w:rsid w:val="00FB65A6"/>
    <w:rsid w:val="00FC4611"/>
    <w:rsid w:val="00FD3AAA"/>
    <w:rsid w:val="00FD7165"/>
    <w:rsid w:val="00FE0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32E"/>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E89"/>
    <w:pPr>
      <w:ind w:left="720"/>
      <w:contextualSpacing/>
    </w:pPr>
  </w:style>
  <w:style w:type="paragraph" w:styleId="a4">
    <w:name w:val="Balloon Text"/>
    <w:basedOn w:val="a"/>
    <w:link w:val="a5"/>
    <w:uiPriority w:val="99"/>
    <w:semiHidden/>
    <w:unhideWhenUsed/>
    <w:rsid w:val="00D50628"/>
    <w:rPr>
      <w:rFonts w:ascii="Segoe UI" w:hAnsi="Segoe UI" w:cs="Segoe UI"/>
      <w:sz w:val="18"/>
      <w:szCs w:val="18"/>
    </w:rPr>
  </w:style>
  <w:style w:type="character" w:customStyle="1" w:styleId="a5">
    <w:name w:val="Текст выноски Знак"/>
    <w:basedOn w:val="a0"/>
    <w:link w:val="a4"/>
    <w:uiPriority w:val="99"/>
    <w:semiHidden/>
    <w:rsid w:val="00D50628"/>
    <w:rPr>
      <w:rFonts w:ascii="Segoe UI" w:eastAsia="Times New Roman" w:hAnsi="Segoe UI" w:cs="Segoe UI"/>
      <w:sz w:val="18"/>
      <w:szCs w:val="18"/>
      <w:lang w:val="uk-UA" w:eastAsia="ru-RU"/>
    </w:rPr>
  </w:style>
  <w:style w:type="paragraph" w:styleId="a6">
    <w:name w:val="header"/>
    <w:basedOn w:val="a"/>
    <w:link w:val="a7"/>
    <w:uiPriority w:val="99"/>
    <w:unhideWhenUsed/>
    <w:rsid w:val="004258ED"/>
    <w:pPr>
      <w:tabs>
        <w:tab w:val="center" w:pos="4677"/>
        <w:tab w:val="right" w:pos="9355"/>
      </w:tabs>
    </w:pPr>
  </w:style>
  <w:style w:type="character" w:customStyle="1" w:styleId="a7">
    <w:name w:val="Верхний колонтитул Знак"/>
    <w:basedOn w:val="a0"/>
    <w:link w:val="a6"/>
    <w:uiPriority w:val="99"/>
    <w:rsid w:val="004258ED"/>
    <w:rPr>
      <w:rFonts w:ascii="Times New Roman" w:eastAsia="Times New Roman" w:hAnsi="Times New Roman" w:cs="Times New Roman"/>
      <w:sz w:val="24"/>
      <w:szCs w:val="24"/>
      <w:lang w:val="uk-UA" w:eastAsia="ru-RU"/>
    </w:rPr>
  </w:style>
  <w:style w:type="paragraph" w:styleId="a8">
    <w:name w:val="footer"/>
    <w:basedOn w:val="a"/>
    <w:link w:val="a9"/>
    <w:uiPriority w:val="99"/>
    <w:unhideWhenUsed/>
    <w:rsid w:val="004258ED"/>
    <w:pPr>
      <w:tabs>
        <w:tab w:val="center" w:pos="4677"/>
        <w:tab w:val="right" w:pos="9355"/>
      </w:tabs>
    </w:pPr>
  </w:style>
  <w:style w:type="character" w:customStyle="1" w:styleId="a9">
    <w:name w:val="Нижний колонтитул Знак"/>
    <w:basedOn w:val="a0"/>
    <w:link w:val="a8"/>
    <w:uiPriority w:val="99"/>
    <w:rsid w:val="004258ED"/>
    <w:rPr>
      <w:rFonts w:ascii="Times New Roman" w:eastAsia="Times New Roman"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32E"/>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F2E89"/>
    <w:pPr>
      <w:ind w:left="720"/>
      <w:contextualSpacing/>
    </w:pPr>
  </w:style>
  <w:style w:type="paragraph" w:styleId="a4">
    <w:name w:val="Balloon Text"/>
    <w:basedOn w:val="a"/>
    <w:link w:val="a5"/>
    <w:uiPriority w:val="99"/>
    <w:semiHidden/>
    <w:unhideWhenUsed/>
    <w:rsid w:val="00D50628"/>
    <w:rPr>
      <w:rFonts w:ascii="Segoe UI" w:hAnsi="Segoe UI" w:cs="Segoe UI"/>
      <w:sz w:val="18"/>
      <w:szCs w:val="18"/>
    </w:rPr>
  </w:style>
  <w:style w:type="character" w:customStyle="1" w:styleId="a5">
    <w:name w:val="Текст выноски Знак"/>
    <w:basedOn w:val="a0"/>
    <w:link w:val="a4"/>
    <w:uiPriority w:val="99"/>
    <w:semiHidden/>
    <w:rsid w:val="00D50628"/>
    <w:rPr>
      <w:rFonts w:ascii="Segoe UI" w:eastAsia="Times New Roman" w:hAnsi="Segoe UI" w:cs="Segoe UI"/>
      <w:sz w:val="18"/>
      <w:szCs w:val="18"/>
      <w:lang w:val="uk-UA" w:eastAsia="ru-RU"/>
    </w:rPr>
  </w:style>
  <w:style w:type="paragraph" w:styleId="a6">
    <w:name w:val="header"/>
    <w:basedOn w:val="a"/>
    <w:link w:val="a7"/>
    <w:uiPriority w:val="99"/>
    <w:unhideWhenUsed/>
    <w:rsid w:val="004258ED"/>
    <w:pPr>
      <w:tabs>
        <w:tab w:val="center" w:pos="4677"/>
        <w:tab w:val="right" w:pos="9355"/>
      </w:tabs>
    </w:pPr>
  </w:style>
  <w:style w:type="character" w:customStyle="1" w:styleId="a7">
    <w:name w:val="Верхний колонтитул Знак"/>
    <w:basedOn w:val="a0"/>
    <w:link w:val="a6"/>
    <w:uiPriority w:val="99"/>
    <w:rsid w:val="004258ED"/>
    <w:rPr>
      <w:rFonts w:ascii="Times New Roman" w:eastAsia="Times New Roman" w:hAnsi="Times New Roman" w:cs="Times New Roman"/>
      <w:sz w:val="24"/>
      <w:szCs w:val="24"/>
      <w:lang w:val="uk-UA" w:eastAsia="ru-RU"/>
    </w:rPr>
  </w:style>
  <w:style w:type="paragraph" w:styleId="a8">
    <w:name w:val="footer"/>
    <w:basedOn w:val="a"/>
    <w:link w:val="a9"/>
    <w:uiPriority w:val="99"/>
    <w:unhideWhenUsed/>
    <w:rsid w:val="004258ED"/>
    <w:pPr>
      <w:tabs>
        <w:tab w:val="center" w:pos="4677"/>
        <w:tab w:val="right" w:pos="9355"/>
      </w:tabs>
    </w:pPr>
  </w:style>
  <w:style w:type="character" w:customStyle="1" w:styleId="a9">
    <w:name w:val="Нижний колонтитул Знак"/>
    <w:basedOn w:val="a0"/>
    <w:link w:val="a8"/>
    <w:uiPriority w:val="99"/>
    <w:rsid w:val="004258ED"/>
    <w:rPr>
      <w:rFonts w:ascii="Times New Roman" w:eastAsia="Times New Roman"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207241">
      <w:bodyDiv w:val="1"/>
      <w:marLeft w:val="0"/>
      <w:marRight w:val="0"/>
      <w:marTop w:val="0"/>
      <w:marBottom w:val="0"/>
      <w:divBdr>
        <w:top w:val="none" w:sz="0" w:space="0" w:color="auto"/>
        <w:left w:val="none" w:sz="0" w:space="0" w:color="auto"/>
        <w:bottom w:val="none" w:sz="0" w:space="0" w:color="auto"/>
        <w:right w:val="none" w:sz="0" w:space="0" w:color="auto"/>
      </w:divBdr>
    </w:div>
    <w:div w:id="830409710">
      <w:bodyDiv w:val="1"/>
      <w:marLeft w:val="0"/>
      <w:marRight w:val="0"/>
      <w:marTop w:val="0"/>
      <w:marBottom w:val="0"/>
      <w:divBdr>
        <w:top w:val="none" w:sz="0" w:space="0" w:color="auto"/>
        <w:left w:val="none" w:sz="0" w:space="0" w:color="auto"/>
        <w:bottom w:val="none" w:sz="0" w:space="0" w:color="auto"/>
        <w:right w:val="none" w:sz="0" w:space="0" w:color="auto"/>
      </w:divBdr>
    </w:div>
    <w:div w:id="165841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26111E-0B72-425C-9260-0A1E17969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3261</Words>
  <Characters>18589</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2017-01-30T15:43:00Z</cp:lastPrinted>
  <dcterms:created xsi:type="dcterms:W3CDTF">2017-02-01T08:32:00Z</dcterms:created>
  <dcterms:modified xsi:type="dcterms:W3CDTF">2017-02-01T08:35:00Z</dcterms:modified>
</cp:coreProperties>
</file>