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E7" w:rsidRPr="00ED7263" w:rsidRDefault="005118E7" w:rsidP="005118E7">
      <w:pPr>
        <w:pStyle w:val="af0"/>
        <w:spacing w:before="0" w:after="0" w:line="276" w:lineRule="auto"/>
        <w:jc w:val="right"/>
        <w:rPr>
          <w:b w:val="0"/>
          <w:sz w:val="24"/>
          <w:szCs w:val="24"/>
        </w:rPr>
      </w:pPr>
      <w:r w:rsidRPr="00ED7263">
        <w:rPr>
          <w:b w:val="0"/>
          <w:sz w:val="24"/>
          <w:szCs w:val="24"/>
        </w:rPr>
        <w:t>Додаток</w:t>
      </w:r>
      <w:r w:rsidR="00085856" w:rsidRPr="00ED7263">
        <w:rPr>
          <w:b w:val="0"/>
          <w:sz w:val="24"/>
          <w:szCs w:val="24"/>
        </w:rPr>
        <w:t xml:space="preserve"> 1</w:t>
      </w:r>
    </w:p>
    <w:p w:rsidR="00FC41E6" w:rsidRPr="00ED7263" w:rsidRDefault="005118E7" w:rsidP="005118E7">
      <w:pPr>
        <w:pStyle w:val="af0"/>
        <w:spacing w:before="0" w:after="0" w:line="276" w:lineRule="auto"/>
        <w:rPr>
          <w:b w:val="0"/>
          <w:sz w:val="24"/>
          <w:szCs w:val="24"/>
        </w:rPr>
      </w:pPr>
      <w:r w:rsidRPr="00ED7263">
        <w:rPr>
          <w:sz w:val="24"/>
          <w:szCs w:val="24"/>
        </w:rPr>
        <w:t xml:space="preserve">ВИКОНАННЯ </w:t>
      </w:r>
      <w:r w:rsidR="00844CA1" w:rsidRPr="00ED7263">
        <w:rPr>
          <w:sz w:val="24"/>
          <w:szCs w:val="24"/>
        </w:rPr>
        <w:t>ПЛАН</w:t>
      </w:r>
      <w:r w:rsidRPr="00ED7263">
        <w:rPr>
          <w:sz w:val="24"/>
          <w:szCs w:val="24"/>
        </w:rPr>
        <w:t>У</w:t>
      </w:r>
      <w:r w:rsidR="00844CA1" w:rsidRPr="00ED7263">
        <w:rPr>
          <w:sz w:val="24"/>
          <w:szCs w:val="24"/>
        </w:rPr>
        <w:t xml:space="preserve"> ЗАХОДІВ</w:t>
      </w:r>
      <w:r w:rsidR="00844CA1" w:rsidRPr="00ED7263">
        <w:rPr>
          <w:b w:val="0"/>
          <w:sz w:val="24"/>
          <w:szCs w:val="24"/>
        </w:rPr>
        <w:t xml:space="preserve"> </w:t>
      </w:r>
    </w:p>
    <w:p w:rsidR="00FC41E6" w:rsidRPr="00ED7263" w:rsidRDefault="00FC41E6" w:rsidP="005118E7">
      <w:pPr>
        <w:pStyle w:val="af0"/>
        <w:spacing w:before="0" w:after="0" w:line="276" w:lineRule="auto"/>
        <w:rPr>
          <w:sz w:val="24"/>
          <w:szCs w:val="24"/>
        </w:rPr>
      </w:pPr>
      <w:r w:rsidRPr="00ED7263">
        <w:rPr>
          <w:sz w:val="24"/>
          <w:szCs w:val="24"/>
          <w:lang w:val="ru-RU"/>
        </w:rPr>
        <w:t>Донецько</w:t>
      </w:r>
      <w:r w:rsidRPr="00ED7263">
        <w:rPr>
          <w:sz w:val="24"/>
          <w:szCs w:val="24"/>
        </w:rPr>
        <w:t xml:space="preserve">ї облдержадміністрації </w:t>
      </w:r>
    </w:p>
    <w:p w:rsidR="00844CA1" w:rsidRPr="00ED7263" w:rsidRDefault="00844CA1" w:rsidP="005118E7">
      <w:pPr>
        <w:pStyle w:val="af0"/>
        <w:spacing w:before="0" w:after="0" w:line="276" w:lineRule="auto"/>
        <w:rPr>
          <w:b w:val="0"/>
          <w:sz w:val="24"/>
          <w:szCs w:val="24"/>
        </w:rPr>
      </w:pPr>
      <w:r w:rsidRPr="00ED7263">
        <w:rPr>
          <w:b w:val="0"/>
          <w:sz w:val="24"/>
          <w:szCs w:val="24"/>
        </w:rPr>
        <w:t>з імплементації Угоди про асоціацію між Україною, з однієї сторони,</w:t>
      </w:r>
      <w:r w:rsidRPr="00ED7263">
        <w:rPr>
          <w:b w:val="0"/>
          <w:sz w:val="24"/>
          <w:szCs w:val="24"/>
        </w:rPr>
        <w:br/>
        <w:t>та Європейським Союзом, Європейським Співтовариством з атомної енергії</w:t>
      </w:r>
      <w:r w:rsidRPr="00ED7263">
        <w:rPr>
          <w:b w:val="0"/>
          <w:sz w:val="24"/>
          <w:szCs w:val="24"/>
        </w:rPr>
        <w:br/>
        <w:t>і їхніми державами-членами, з іншої сторони, на 2014</w:t>
      </w:r>
      <w:r w:rsidRPr="00ED7263">
        <w:rPr>
          <w:b w:val="0"/>
          <w:sz w:val="24"/>
          <w:szCs w:val="24"/>
        </w:rPr>
        <w:softHyphen/>
      </w:r>
      <w:r w:rsidR="002E6CE1" w:rsidRPr="00ED7263">
        <w:rPr>
          <w:b w:val="0"/>
          <w:sz w:val="24"/>
          <w:szCs w:val="24"/>
        </w:rPr>
        <w:t>-</w:t>
      </w:r>
      <w:r w:rsidRPr="00ED7263">
        <w:rPr>
          <w:b w:val="0"/>
          <w:sz w:val="24"/>
          <w:szCs w:val="24"/>
        </w:rPr>
        <w:t xml:space="preserve">2017 роки </w:t>
      </w:r>
    </w:p>
    <w:p w:rsidR="005118E7" w:rsidRPr="00ED7263" w:rsidRDefault="005118E7" w:rsidP="005118E7">
      <w:pPr>
        <w:pStyle w:val="a6"/>
        <w:spacing w:before="0" w:line="276" w:lineRule="auto"/>
        <w:jc w:val="center"/>
        <w:rPr>
          <w:sz w:val="24"/>
          <w:szCs w:val="24"/>
        </w:rPr>
      </w:pPr>
      <w:r w:rsidRPr="00ED7263">
        <w:rPr>
          <w:sz w:val="24"/>
          <w:szCs w:val="24"/>
        </w:rPr>
        <w:t>(станом на 01.0</w:t>
      </w:r>
      <w:r w:rsidR="001F7C07">
        <w:rPr>
          <w:sz w:val="24"/>
          <w:szCs w:val="24"/>
          <w:lang w:val="en-US"/>
        </w:rPr>
        <w:t>4</w:t>
      </w:r>
      <w:r w:rsidRPr="00ED7263">
        <w:rPr>
          <w:sz w:val="24"/>
          <w:szCs w:val="24"/>
        </w:rPr>
        <w:t>.2015 р.)</w:t>
      </w:r>
    </w:p>
    <w:tbl>
      <w:tblPr>
        <w:tblW w:w="15659" w:type="dxa"/>
        <w:tblInd w:w="-242" w:type="dxa"/>
        <w:tblLayout w:type="fixed"/>
        <w:tblLook w:val="01E0" w:firstRow="1" w:lastRow="1" w:firstColumn="1" w:lastColumn="1" w:noHBand="0" w:noVBand="0"/>
      </w:tblPr>
      <w:tblGrid>
        <w:gridCol w:w="491"/>
        <w:gridCol w:w="993"/>
        <w:gridCol w:w="4535"/>
        <w:gridCol w:w="1278"/>
        <w:gridCol w:w="8362"/>
      </w:tblGrid>
      <w:tr w:rsidR="005118E7" w:rsidRPr="00ED7263" w:rsidTr="00ED7263">
        <w:trPr>
          <w:trHeight w:val="20"/>
          <w:tblHeader/>
        </w:trPr>
        <w:tc>
          <w:tcPr>
            <w:tcW w:w="474" w:type="pct"/>
            <w:gridSpan w:val="2"/>
            <w:tcBorders>
              <w:top w:val="single" w:sz="4" w:space="0" w:color="auto"/>
              <w:left w:val="single" w:sz="4" w:space="0" w:color="auto"/>
              <w:bottom w:val="single" w:sz="4" w:space="0" w:color="auto"/>
              <w:right w:val="single" w:sz="4" w:space="0" w:color="auto"/>
            </w:tcBorders>
            <w:vAlign w:val="center"/>
          </w:tcPr>
          <w:p w:rsidR="005118E7" w:rsidRPr="00ED7263" w:rsidRDefault="005118E7" w:rsidP="00BC2B8F">
            <w:pPr>
              <w:widowControl w:val="0"/>
              <w:spacing w:before="120" w:line="228" w:lineRule="auto"/>
              <w:ind w:left="-57" w:right="-113"/>
              <w:jc w:val="center"/>
              <w:outlineLvl w:val="0"/>
              <w:rPr>
                <w:sz w:val="24"/>
                <w:szCs w:val="24"/>
              </w:rPr>
            </w:pPr>
            <w:r w:rsidRPr="00ED7263">
              <w:rPr>
                <w:sz w:val="24"/>
                <w:szCs w:val="24"/>
              </w:rPr>
              <w:t>Положення Угоди</w:t>
            </w:r>
          </w:p>
        </w:tc>
        <w:tc>
          <w:tcPr>
            <w:tcW w:w="1448" w:type="pct"/>
            <w:tcBorders>
              <w:top w:val="single" w:sz="4" w:space="0" w:color="auto"/>
              <w:left w:val="single" w:sz="4" w:space="0" w:color="auto"/>
              <w:bottom w:val="single" w:sz="4" w:space="0" w:color="auto"/>
              <w:right w:val="single" w:sz="4" w:space="0" w:color="auto"/>
            </w:tcBorders>
            <w:vAlign w:val="center"/>
          </w:tcPr>
          <w:p w:rsidR="005118E7" w:rsidRPr="00ED7263" w:rsidRDefault="005118E7" w:rsidP="00625981">
            <w:pPr>
              <w:widowControl w:val="0"/>
              <w:spacing w:before="120" w:line="228" w:lineRule="auto"/>
              <w:ind w:left="-57" w:right="32"/>
              <w:jc w:val="center"/>
              <w:outlineLvl w:val="0"/>
              <w:rPr>
                <w:caps/>
                <w:sz w:val="24"/>
                <w:szCs w:val="24"/>
              </w:rPr>
            </w:pPr>
            <w:r w:rsidRPr="00ED7263">
              <w:rPr>
                <w:sz w:val="24"/>
                <w:szCs w:val="24"/>
              </w:rPr>
              <w:t>Розділ (глава) Угоди, найменування заходу</w:t>
            </w:r>
          </w:p>
        </w:tc>
        <w:tc>
          <w:tcPr>
            <w:tcW w:w="408" w:type="pct"/>
            <w:tcBorders>
              <w:top w:val="single" w:sz="4" w:space="0" w:color="auto"/>
              <w:left w:val="single" w:sz="4" w:space="0" w:color="auto"/>
              <w:bottom w:val="single" w:sz="4" w:space="0" w:color="auto"/>
              <w:right w:val="single" w:sz="4" w:space="0" w:color="auto"/>
            </w:tcBorders>
            <w:vAlign w:val="center"/>
          </w:tcPr>
          <w:p w:rsidR="005118E7" w:rsidRPr="00ED7263" w:rsidRDefault="005118E7" w:rsidP="00EF73A8">
            <w:pPr>
              <w:widowControl w:val="0"/>
              <w:spacing w:before="120" w:line="228" w:lineRule="auto"/>
              <w:ind w:left="-57" w:right="-113"/>
              <w:jc w:val="center"/>
              <w:outlineLvl w:val="0"/>
              <w:rPr>
                <w:caps/>
                <w:sz w:val="24"/>
                <w:szCs w:val="24"/>
              </w:rPr>
            </w:pPr>
            <w:r w:rsidRPr="00ED7263">
              <w:rPr>
                <w:sz w:val="24"/>
                <w:szCs w:val="24"/>
              </w:rPr>
              <w:t>Строк виконання</w:t>
            </w:r>
          </w:p>
        </w:tc>
        <w:tc>
          <w:tcPr>
            <w:tcW w:w="2670" w:type="pct"/>
            <w:tcBorders>
              <w:top w:val="single" w:sz="4" w:space="0" w:color="auto"/>
              <w:left w:val="single" w:sz="4" w:space="0" w:color="auto"/>
              <w:bottom w:val="single" w:sz="4" w:space="0" w:color="auto"/>
              <w:right w:val="single" w:sz="4" w:space="0" w:color="auto"/>
            </w:tcBorders>
            <w:vAlign w:val="center"/>
          </w:tcPr>
          <w:p w:rsidR="005118E7" w:rsidRPr="00ED7263" w:rsidRDefault="005118E7" w:rsidP="003F20AC">
            <w:pPr>
              <w:widowControl w:val="0"/>
              <w:spacing w:before="120" w:line="228" w:lineRule="auto"/>
              <w:ind w:left="-57" w:right="-113"/>
              <w:jc w:val="center"/>
              <w:outlineLvl w:val="0"/>
              <w:rPr>
                <w:caps/>
                <w:sz w:val="24"/>
                <w:szCs w:val="24"/>
              </w:rPr>
            </w:pPr>
            <w:r w:rsidRPr="00ED7263">
              <w:rPr>
                <w:sz w:val="24"/>
                <w:szCs w:val="24"/>
              </w:rPr>
              <w:t>Інформація про виконання</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outlineLvl w:val="0"/>
              <w:rPr>
                <w:b/>
                <w:sz w:val="24"/>
                <w:szCs w:val="24"/>
              </w:rPr>
            </w:pP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ED7263">
            <w:pPr>
              <w:widowControl w:val="0"/>
              <w:spacing w:before="120" w:line="228" w:lineRule="auto"/>
              <w:ind w:left="-57"/>
              <w:jc w:val="both"/>
              <w:outlineLvl w:val="0"/>
              <w:rPr>
                <w:b/>
                <w:sz w:val="24"/>
                <w:szCs w:val="24"/>
              </w:rPr>
            </w:pPr>
            <w:r w:rsidRPr="00ED7263">
              <w:rPr>
                <w:b/>
                <w:sz w:val="24"/>
                <w:szCs w:val="24"/>
              </w:rPr>
              <w:t>Політичний діалог та реформи, політична асоціація, конвергенція у сфері зовнішньої та безпекової політики</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spacing w:before="120" w:line="228"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tcPr>
          <w:p w:rsidR="005118E7" w:rsidRPr="00ED7263" w:rsidRDefault="005118E7" w:rsidP="003F20AC">
            <w:pPr>
              <w:widowControl w:val="0"/>
              <w:spacing w:before="120" w:line="228" w:lineRule="auto"/>
              <w:ind w:left="-57" w:right="-113"/>
              <w:jc w:val="both"/>
              <w:rPr>
                <w:b/>
                <w:iCs/>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outlineLvl w:val="0"/>
              <w:rPr>
                <w:sz w:val="24"/>
                <w:szCs w:val="24"/>
              </w:rPr>
            </w:pPr>
            <w:r w:rsidRPr="00ED7263">
              <w:rPr>
                <w:sz w:val="24"/>
                <w:szCs w:val="24"/>
              </w:rPr>
              <w:t>Стаття 4</w:t>
            </w: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120" w:line="228" w:lineRule="auto"/>
              <w:ind w:left="-57"/>
              <w:jc w:val="both"/>
              <w:outlineLvl w:val="0"/>
              <w:rPr>
                <w:sz w:val="24"/>
                <w:szCs w:val="24"/>
              </w:rPr>
            </w:pPr>
            <w:r w:rsidRPr="00ED7263">
              <w:rPr>
                <w:sz w:val="24"/>
                <w:szCs w:val="24"/>
              </w:rPr>
              <w:t>Забезпечення здійснення заходів, пов’язаних із захистом прав національних меншин, у тому числі в рамках виконання Плану дій щодо лібералізації Європейським Союзом візового режиму для України</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spacing w:before="120" w:line="228" w:lineRule="auto"/>
              <w:ind w:left="-57" w:right="-113"/>
              <w:rPr>
                <w:sz w:val="24"/>
                <w:szCs w:val="24"/>
              </w:rPr>
            </w:pPr>
            <w:r w:rsidRPr="00ED7263">
              <w:rPr>
                <w:iCs/>
                <w:sz w:val="24"/>
                <w:szCs w:val="24"/>
              </w:rPr>
              <w:t>2014</w:t>
            </w:r>
            <w:r w:rsidRPr="00ED7263">
              <w:rPr>
                <w:iCs/>
                <w:sz w:val="24"/>
                <w:szCs w:val="24"/>
                <w:lang w:val="ru-RU"/>
              </w:rPr>
              <w:t xml:space="preserve"> </w:t>
            </w:r>
            <w:r w:rsidR="00B23E97" w:rsidRPr="00ED7263">
              <w:rPr>
                <w:iCs/>
                <w:sz w:val="24"/>
                <w:szCs w:val="24"/>
                <w:lang w:val="ru-RU"/>
              </w:rPr>
              <w:t>-</w:t>
            </w:r>
            <w:r w:rsidRPr="00ED7263">
              <w:rPr>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tcPr>
          <w:p w:rsidR="00B23E97" w:rsidRPr="00ED7263" w:rsidRDefault="00B23E97" w:rsidP="003F20AC">
            <w:pPr>
              <w:widowControl w:val="0"/>
              <w:spacing w:before="120" w:line="228" w:lineRule="auto"/>
              <w:ind w:left="-57" w:right="-113"/>
              <w:jc w:val="both"/>
              <w:rPr>
                <w:iCs/>
                <w:sz w:val="24"/>
                <w:szCs w:val="24"/>
              </w:rPr>
            </w:pPr>
            <w:r w:rsidRPr="00ED7263">
              <w:rPr>
                <w:iCs/>
                <w:sz w:val="24"/>
                <w:szCs w:val="24"/>
              </w:rPr>
              <w:t>Триває.</w:t>
            </w:r>
          </w:p>
          <w:p w:rsidR="00C433B8" w:rsidRPr="00ED7263" w:rsidRDefault="00C433B8" w:rsidP="003F20AC">
            <w:pPr>
              <w:widowControl w:val="0"/>
              <w:spacing w:before="120" w:line="228" w:lineRule="auto"/>
              <w:ind w:left="-57" w:right="-113"/>
              <w:jc w:val="both"/>
              <w:rPr>
                <w:iCs/>
                <w:sz w:val="24"/>
                <w:szCs w:val="24"/>
              </w:rPr>
            </w:pPr>
            <w:r w:rsidRPr="00ED7263">
              <w:rPr>
                <w:iCs/>
                <w:sz w:val="24"/>
                <w:szCs w:val="24"/>
              </w:rPr>
              <w:t>Незважаючи на складну суспільно – політичну ситуацію в регіоні та проведення АТО на території області</w:t>
            </w:r>
            <w:r w:rsidRPr="00ED7263">
              <w:rPr>
                <w:iCs/>
                <w:sz w:val="24"/>
                <w:szCs w:val="24"/>
              </w:rPr>
              <w:tab/>
              <w:t xml:space="preserve">протягом </w:t>
            </w:r>
            <w:r w:rsidR="001F7C07" w:rsidRPr="001F7C07">
              <w:rPr>
                <w:iCs/>
                <w:sz w:val="24"/>
                <w:szCs w:val="24"/>
              </w:rPr>
              <w:t>1 кв.</w:t>
            </w:r>
            <w:r w:rsidR="001F7C07">
              <w:rPr>
                <w:iCs/>
                <w:sz w:val="24"/>
                <w:szCs w:val="24"/>
              </w:rPr>
              <w:t xml:space="preserve"> 2015</w:t>
            </w:r>
            <w:r w:rsidRPr="00ED7263">
              <w:rPr>
                <w:iCs/>
                <w:sz w:val="24"/>
                <w:szCs w:val="24"/>
              </w:rPr>
              <w:t xml:space="preserve"> року облдержадміністрацією було продовжено роботу по здійсненню заходів щодо сприяння подальшому відродженню, збереженню, розвитку багатогранної системи етнічної культури, інтеграції представників націй і народностей, що проживають на території Донецької області.</w:t>
            </w:r>
          </w:p>
          <w:p w:rsidR="000A6E0B" w:rsidRPr="00ED7263" w:rsidRDefault="000A6E0B" w:rsidP="00F502DB">
            <w:pPr>
              <w:widowControl w:val="0"/>
              <w:spacing w:before="120" w:line="228" w:lineRule="auto"/>
              <w:ind w:left="-57"/>
              <w:jc w:val="both"/>
              <w:rPr>
                <w:iCs/>
                <w:sz w:val="24"/>
                <w:szCs w:val="24"/>
              </w:rPr>
            </w:pPr>
            <w:r w:rsidRPr="00ED7263">
              <w:rPr>
                <w:iCs/>
                <w:sz w:val="24"/>
                <w:szCs w:val="24"/>
              </w:rPr>
              <w:t>На території Донецької області мешкають представники 133 національностей. З них найбільш чисельні етнічні спільноти: росіяни – 38,2%; греки – 1,6 %; білоруси – 0,9%; татари – 0,4%; вірмени – 0,3%; євреї – 0,2%. Компактно розселені представники національних меншин на території Донецької області – греки, білоруси, німці. Взагалі в області існує 36 обласних громадських організацій національних меншин (Донецька обласна єврейська громада, донецьке регіональне товариство греків «Аякс», товариство польської культури Донбасу, Донецький обласний татарський культурний центр, донецьке обласне товариство корейської культури, донецьке обласне товариство грузин «Руставелі» тощо).</w:t>
            </w:r>
          </w:p>
          <w:p w:rsidR="000A6E0B" w:rsidRPr="00ED7263" w:rsidRDefault="000A6E0B" w:rsidP="00F502DB">
            <w:pPr>
              <w:widowControl w:val="0"/>
              <w:spacing w:before="120" w:line="228" w:lineRule="auto"/>
              <w:ind w:left="-57"/>
              <w:jc w:val="both"/>
              <w:rPr>
                <w:iCs/>
                <w:sz w:val="24"/>
                <w:szCs w:val="24"/>
              </w:rPr>
            </w:pPr>
            <w:r w:rsidRPr="00ED7263">
              <w:rPr>
                <w:iCs/>
                <w:sz w:val="24"/>
                <w:szCs w:val="24"/>
              </w:rPr>
              <w:t>З метою недопущення пригнічення представників національних меншин, які мешкають на території області, до ОВС ГУМВС в області у квітні 2014 року було направлено відповідне доручення. Також дільничними інспекторами міліції територіальних ОВС проводяться зустрічі із представниками громадських організацій, які представляють інтереси національних меншин на території Донецької області. Разом з цим, через засоби масової інформації проводиться роз’яснювальна робота серед населення з метою попередження притискань національних меншин.</w:t>
            </w:r>
          </w:p>
          <w:p w:rsidR="005118E7" w:rsidRPr="00ED7263" w:rsidRDefault="005C1142" w:rsidP="00ED7263">
            <w:pPr>
              <w:widowControl w:val="0"/>
              <w:spacing w:before="120" w:line="228" w:lineRule="auto"/>
              <w:ind w:left="-57" w:right="-113"/>
              <w:jc w:val="both"/>
              <w:rPr>
                <w:iCs/>
                <w:sz w:val="24"/>
                <w:szCs w:val="24"/>
              </w:rPr>
            </w:pPr>
            <w:r w:rsidRPr="00ED7263">
              <w:rPr>
                <w:iCs/>
                <w:sz w:val="24"/>
                <w:szCs w:val="24"/>
              </w:rPr>
              <w:lastRenderedPageBreak/>
              <w:t>Заслуговує на увагу і той факт, що регіональні національні об'єднання разом з виконавчими органами міських рад та райдержадміністрацій продовжили контакти з історичною батьківщиною. За роки співпраці налагоджено обмін творчими, науковими, культурними делегаціями. Протягом звітного періоду  значну гуманітарну допомоги для співвітчизників на територію області направили  урядові та громадські організації та установи греків, поляків, росіян, іудеїв, німців тощо.</w:t>
            </w:r>
          </w:p>
        </w:tc>
      </w:tr>
      <w:tr w:rsidR="005118E7" w:rsidRPr="00ED7263" w:rsidTr="00ED7263">
        <w:trPr>
          <w:trHeight w:val="241"/>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60F1B">
            <w:pPr>
              <w:widowControl w:val="0"/>
              <w:spacing w:before="240" w:line="226" w:lineRule="auto"/>
              <w:ind w:left="-57" w:right="-113"/>
              <w:jc w:val="center"/>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60F1B">
            <w:pPr>
              <w:widowControl w:val="0"/>
              <w:spacing w:before="240" w:line="226" w:lineRule="auto"/>
              <w:ind w:left="-57" w:right="-113"/>
              <w:jc w:val="center"/>
              <w:outlineLvl w:val="0"/>
              <w:rPr>
                <w:b/>
                <w:sz w:val="24"/>
                <w:szCs w:val="24"/>
              </w:rPr>
            </w:pP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240" w:line="226" w:lineRule="auto"/>
              <w:ind w:left="-57" w:right="-248"/>
              <w:jc w:val="both"/>
              <w:rPr>
                <w:b/>
                <w:sz w:val="24"/>
                <w:szCs w:val="24"/>
              </w:rPr>
            </w:pPr>
            <w:r w:rsidRPr="00ED7263">
              <w:rPr>
                <w:b/>
                <w:sz w:val="24"/>
                <w:szCs w:val="24"/>
              </w:rPr>
              <w:t>Юстиція, свобода та безпека</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spacing w:before="240" w:line="226"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tcPr>
          <w:p w:rsidR="005118E7" w:rsidRPr="00ED7263" w:rsidRDefault="005118E7" w:rsidP="003F20AC">
            <w:pPr>
              <w:widowControl w:val="0"/>
              <w:spacing w:before="240" w:line="226" w:lineRule="auto"/>
              <w:ind w:left="-57" w:right="-113"/>
              <w:jc w:val="both"/>
              <w:rPr>
                <w:b/>
                <w:iCs/>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sz w:val="24"/>
                <w:szCs w:val="24"/>
              </w:rPr>
            </w:pPr>
            <w:r w:rsidRPr="00ED7263">
              <w:rPr>
                <w:sz w:val="24"/>
                <w:szCs w:val="24"/>
              </w:rPr>
              <w:t>Статті 18, 22</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4F2CD9">
            <w:pPr>
              <w:widowControl w:val="0"/>
              <w:spacing w:before="120" w:line="228" w:lineRule="auto"/>
              <w:ind w:left="-57" w:right="37"/>
              <w:jc w:val="both"/>
              <w:rPr>
                <w:sz w:val="24"/>
                <w:szCs w:val="24"/>
              </w:rPr>
            </w:pPr>
            <w:r w:rsidRPr="00ED7263">
              <w:rPr>
                <w:sz w:val="24"/>
                <w:szCs w:val="24"/>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Плану дій щодо лібералізації Європейським Союзом візового режиму для України</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iCs/>
                <w:sz w:val="24"/>
                <w:szCs w:val="24"/>
              </w:rPr>
            </w:pPr>
            <w:r w:rsidRPr="00ED7263">
              <w:rPr>
                <w:iCs/>
                <w:sz w:val="24"/>
                <w:szCs w:val="24"/>
              </w:rPr>
              <w:t>2014</w:t>
            </w:r>
            <w:r w:rsidR="00B30AC7" w:rsidRPr="00ED7263">
              <w:rPr>
                <w:iCs/>
                <w:sz w:val="24"/>
                <w:szCs w:val="24"/>
              </w:rPr>
              <w:t xml:space="preserve"> -</w:t>
            </w:r>
            <w:r w:rsidRPr="00ED7263">
              <w:rPr>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A52123" w:rsidRPr="00ED7263" w:rsidRDefault="00A52123" w:rsidP="00A52123">
            <w:pPr>
              <w:widowControl w:val="0"/>
              <w:spacing w:before="100" w:line="228" w:lineRule="auto"/>
              <w:ind w:left="-57" w:right="-113"/>
              <w:jc w:val="both"/>
              <w:rPr>
                <w:iCs/>
                <w:sz w:val="24"/>
                <w:szCs w:val="24"/>
              </w:rPr>
            </w:pPr>
            <w:r w:rsidRPr="00ED7263">
              <w:rPr>
                <w:iCs/>
                <w:sz w:val="24"/>
                <w:szCs w:val="24"/>
              </w:rPr>
              <w:t>Триває.</w:t>
            </w:r>
          </w:p>
          <w:p w:rsidR="00B30AC7" w:rsidRPr="00ED7263" w:rsidRDefault="00B25B3E" w:rsidP="00F502DB">
            <w:pPr>
              <w:widowControl w:val="0"/>
              <w:spacing w:before="100" w:line="228" w:lineRule="auto"/>
              <w:ind w:left="-57" w:right="33"/>
              <w:jc w:val="both"/>
              <w:rPr>
                <w:iCs/>
                <w:sz w:val="24"/>
                <w:szCs w:val="24"/>
              </w:rPr>
            </w:pPr>
            <w:r w:rsidRPr="00ED7263">
              <w:rPr>
                <w:iCs/>
                <w:sz w:val="24"/>
                <w:szCs w:val="24"/>
              </w:rPr>
              <w:t>Поведення АТО на території області ускладнює виконання цього заходу.</w:t>
            </w:r>
          </w:p>
          <w:p w:rsidR="005118E7" w:rsidRPr="00ED7263" w:rsidRDefault="005118E7" w:rsidP="003F20AC">
            <w:pPr>
              <w:widowControl w:val="0"/>
              <w:spacing w:before="100" w:line="228" w:lineRule="auto"/>
              <w:ind w:left="-57" w:right="-113"/>
              <w:jc w:val="both"/>
              <w:rPr>
                <w:color w:val="FF0000"/>
                <w:sz w:val="24"/>
                <w:szCs w:val="24"/>
                <w:lang w:val="ru-RU"/>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sz w:val="24"/>
                <w:szCs w:val="24"/>
              </w:rPr>
            </w:pPr>
            <w:r w:rsidRPr="00ED7263">
              <w:rPr>
                <w:sz w:val="24"/>
                <w:szCs w:val="24"/>
              </w:rPr>
              <w:t xml:space="preserve">Стаття 19 </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4F2CD9">
            <w:pPr>
              <w:widowControl w:val="0"/>
              <w:spacing w:before="120" w:line="228" w:lineRule="auto"/>
              <w:ind w:left="-57" w:right="37"/>
              <w:jc w:val="both"/>
              <w:rPr>
                <w:sz w:val="24"/>
                <w:szCs w:val="24"/>
              </w:rPr>
            </w:pPr>
            <w:r w:rsidRPr="00ED7263">
              <w:rPr>
                <w:sz w:val="24"/>
                <w:szCs w:val="24"/>
              </w:rPr>
              <w:t>Забезпечення сприяння етнокультурному розвитку національних меншин шляхом проведення культурно</w:t>
            </w:r>
            <w:r w:rsidRPr="00ED7263">
              <w:rPr>
                <w:iCs/>
                <w:sz w:val="24"/>
                <w:szCs w:val="24"/>
              </w:rPr>
              <w:t>-</w:t>
            </w:r>
            <w:r w:rsidRPr="00ED7263">
              <w:rPr>
                <w:sz w:val="24"/>
                <w:szCs w:val="24"/>
              </w:rPr>
              <w:t>мистецьких та культурно</w:t>
            </w:r>
            <w:r w:rsidRPr="00ED7263">
              <w:rPr>
                <w:iCs/>
                <w:sz w:val="24"/>
                <w:szCs w:val="24"/>
              </w:rPr>
              <w:t>-</w:t>
            </w:r>
            <w:r w:rsidRPr="00ED7263">
              <w:rPr>
                <w:sz w:val="24"/>
                <w:szCs w:val="24"/>
              </w:rPr>
              <w:t>просвітницьких заходів</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iCs/>
                <w:sz w:val="24"/>
                <w:szCs w:val="24"/>
              </w:rPr>
            </w:pPr>
            <w:r w:rsidRPr="00ED7263">
              <w:rPr>
                <w:iCs/>
                <w:sz w:val="24"/>
                <w:szCs w:val="24"/>
              </w:rPr>
              <w:t>2014</w:t>
            </w:r>
            <w:r w:rsidR="00B30AC7" w:rsidRPr="00ED7263">
              <w:rPr>
                <w:iCs/>
                <w:sz w:val="24"/>
                <w:szCs w:val="24"/>
              </w:rPr>
              <w:t xml:space="preserve"> -</w:t>
            </w:r>
            <w:r w:rsidRPr="00ED7263">
              <w:rPr>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A52123" w:rsidRPr="00ED7263" w:rsidRDefault="00A52123" w:rsidP="00A52123">
            <w:pPr>
              <w:widowControl w:val="0"/>
              <w:spacing w:before="100" w:line="228" w:lineRule="auto"/>
              <w:ind w:left="-57" w:right="-113"/>
              <w:jc w:val="both"/>
              <w:rPr>
                <w:iCs/>
                <w:sz w:val="24"/>
                <w:szCs w:val="24"/>
              </w:rPr>
            </w:pPr>
            <w:r w:rsidRPr="00ED7263">
              <w:rPr>
                <w:iCs/>
                <w:sz w:val="24"/>
                <w:szCs w:val="24"/>
              </w:rPr>
              <w:t>Триває.</w:t>
            </w:r>
          </w:p>
          <w:p w:rsidR="00C433B8" w:rsidRPr="00ED7263" w:rsidRDefault="001F7C07" w:rsidP="00C433B8">
            <w:pPr>
              <w:widowControl w:val="0"/>
              <w:spacing w:before="100" w:line="228" w:lineRule="auto"/>
              <w:ind w:left="-57"/>
              <w:jc w:val="both"/>
              <w:rPr>
                <w:iCs/>
                <w:sz w:val="24"/>
                <w:szCs w:val="24"/>
              </w:rPr>
            </w:pPr>
            <w:r>
              <w:rPr>
                <w:iCs/>
                <w:sz w:val="24"/>
                <w:szCs w:val="24"/>
              </w:rPr>
              <w:t xml:space="preserve">На території </w:t>
            </w:r>
            <w:r w:rsidR="00C433B8" w:rsidRPr="00ED7263">
              <w:rPr>
                <w:iCs/>
                <w:sz w:val="24"/>
                <w:szCs w:val="24"/>
              </w:rPr>
              <w:t xml:space="preserve">області зареєстровані та діють 181 громадські організації національних меншин (найбільша кількість громадських формувань серед областей України), які об’єднують у своїх рядах представників   24 національностей. </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За звітний період за участю та при підтримці структурного підрозділу спільно з громадськими організаціями національних меншин області проведено   понад 40  заходів, спрямованих на задоволення їх культурно - освітніх, духовних та інформаційно - просвітницьких потреб.</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Більшість заходів, присвячених пам’ятним датам, проводилася безпосередньо в самих національно – культурних товариствах.</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Вагоме місце в задоволенні  культурно – просвітницьких потреб етнічних спільнот області відведено мовним питанням.</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Мови національних меншин вивчають у 83 навчальних закладах понад   14 тис. учнів.</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 xml:space="preserve">20 недільних шкіл з вивчення рідної мови, історії, традицій і звичаїв функціонують при національно - культурних об’єднаннях, в яких </w:t>
            </w:r>
            <w:r w:rsidRPr="00ED7263">
              <w:rPr>
                <w:iCs/>
                <w:sz w:val="24"/>
                <w:szCs w:val="24"/>
              </w:rPr>
              <w:lastRenderedPageBreak/>
              <w:t>навчається близько 600 слухачів.</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Етнічні мови вивчають і студенти вузів області.</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За статистичними даними мови національних меншин в області вивчають понад  1,7 тисячі студентів у 17 вищих навчальних закладах області.</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Відродження, збереження, розвиток і пропаганда національної культури займає першорядне місце в діяльності громадських об’єднань області.</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Протягом багатьох років ведеться активна творча діяльність з відродження та збереження національних культур, в першу чергу пісенно - музичного мистецтва, народних обрядів, ремесл.</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 xml:space="preserve">В області відкрито 6 центрів культур національних меншин. </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 xml:space="preserve">При національно-культурних об’єднаннях у 17 містах і районах області - </w:t>
            </w:r>
            <w:r w:rsidRPr="00ED7263">
              <w:rPr>
                <w:iCs/>
                <w:sz w:val="24"/>
                <w:szCs w:val="24"/>
                <w:lang w:val="ru-RU"/>
              </w:rPr>
              <w:t>1</w:t>
            </w:r>
            <w:r w:rsidRPr="00ED7263">
              <w:rPr>
                <w:iCs/>
                <w:sz w:val="24"/>
                <w:szCs w:val="24"/>
              </w:rPr>
              <w:t xml:space="preserve">00 аматорських та самодіяльних художніх колективів. Серед них такі відомі, як: фольклорний грецький ансамбль пісні і танцю «Сартанські самоцвіти», народний ансамбль грецької пісні та танцю  «Панаїр», зразковий театр танцю «Білий птах», польський танцювальний ансамбль «Радість», татарський фольклорний ансамбль «Татарлари», білоруський ансамбль «Полісся», народний театр рома «Шатриця» та інші. </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 xml:space="preserve">Загальна кількість бібліотек в області складає 688 бібліотек системи Міністерства культури і туризму України  (685 в містах і районах, 3  обласних). Сектор єврейської літератури працює в Артемівській центральній міській бібліотеці. У районах, де компактно проживають представники грецької національності, створено інноваційні типи бібліотек – бібліотеки грецької культури: бібліотека – філія № 5 (с. Сартана) Маріупольської міської ЦБС для дорослих,  Гранітненська сільська бібліотека - філія Тельманівської районної ЦБС, Роздольненська та Стильська сільські бібліотеки Старобешівського району, Ялтинська міська бібліотека - філія Першотравневої районної ЦБС, Малоянісольська сільська бібліотека – філія Володарської районної ЦБС працює як музей Г. Костоправа. </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 xml:space="preserve">Без малого 40 пам’яток національної історії та культури в 9 містах та 5 районах області взято на  облік та під охорону етнічних громад області. </w:t>
            </w:r>
          </w:p>
          <w:p w:rsidR="00C433B8" w:rsidRPr="00ED7263" w:rsidRDefault="00C433B8" w:rsidP="00C433B8">
            <w:pPr>
              <w:widowControl w:val="0"/>
              <w:spacing w:before="100" w:line="228" w:lineRule="auto"/>
              <w:ind w:left="-57"/>
              <w:jc w:val="both"/>
              <w:rPr>
                <w:iCs/>
                <w:sz w:val="24"/>
                <w:szCs w:val="24"/>
              </w:rPr>
            </w:pPr>
            <w:r w:rsidRPr="00ED7263">
              <w:rPr>
                <w:iCs/>
                <w:sz w:val="24"/>
                <w:szCs w:val="24"/>
              </w:rPr>
              <w:t xml:space="preserve">У 7 музеях області відкриті та постійно оновлюються експозиції, виставкові зали, присвячені історичному та духовній спадщині національних меншин краю. </w:t>
            </w:r>
          </w:p>
          <w:p w:rsidR="005118E7" w:rsidRPr="00ED7263" w:rsidRDefault="00C433B8" w:rsidP="00ED7263">
            <w:pPr>
              <w:widowControl w:val="0"/>
              <w:spacing w:before="100" w:line="228" w:lineRule="auto"/>
              <w:ind w:left="-57" w:right="-113"/>
              <w:jc w:val="both"/>
              <w:rPr>
                <w:sz w:val="24"/>
                <w:szCs w:val="24"/>
              </w:rPr>
            </w:pPr>
            <w:r w:rsidRPr="00ED7263">
              <w:rPr>
                <w:iCs/>
                <w:sz w:val="24"/>
                <w:szCs w:val="24"/>
              </w:rPr>
              <w:t xml:space="preserve">Крім основної діяльності по відродженню національної спадщини, </w:t>
            </w:r>
            <w:r w:rsidRPr="00ED7263">
              <w:rPr>
                <w:iCs/>
                <w:sz w:val="24"/>
                <w:szCs w:val="24"/>
              </w:rPr>
              <w:lastRenderedPageBreak/>
              <w:t>збереженню духовності, національної самобутності, формування етнічних спільнот надають значну благодійну допомогу соціально – незахищеним категоріям співгромадян, незалежно від національності.</w:t>
            </w:r>
          </w:p>
        </w:tc>
      </w:tr>
      <w:tr w:rsidR="005118E7" w:rsidRPr="00ED7263" w:rsidTr="00ED7263">
        <w:trPr>
          <w:trHeight w:val="465"/>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F502DB">
            <w:pPr>
              <w:widowControl w:val="0"/>
              <w:spacing w:before="120" w:line="228" w:lineRule="auto"/>
              <w:ind w:left="-57" w:right="-248"/>
              <w:rPr>
                <w:b/>
                <w:sz w:val="24"/>
                <w:szCs w:val="24"/>
              </w:rPr>
            </w:pPr>
            <w:r w:rsidRPr="00ED7263">
              <w:rPr>
                <w:b/>
                <w:sz w:val="24"/>
                <w:szCs w:val="24"/>
              </w:rPr>
              <w:t>ЕКОНОМІЧНЕ ТА ГАЛУЗЕВЕ СПІВРОБІТНИЦТВО</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3F20AC">
            <w:pPr>
              <w:widowControl w:val="0"/>
              <w:spacing w:before="120" w:line="228" w:lineRule="auto"/>
              <w:ind w:left="-57" w:right="-113"/>
              <w:jc w:val="both"/>
              <w:rPr>
                <w:b/>
                <w:iCs/>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line="228" w:lineRule="auto"/>
              <w:ind w:left="-57" w:right="-113"/>
              <w:rPr>
                <w:b/>
                <w:sz w:val="24"/>
                <w:szCs w:val="24"/>
              </w:rPr>
            </w:pP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F502DB">
            <w:pPr>
              <w:widowControl w:val="0"/>
              <w:spacing w:line="228" w:lineRule="auto"/>
              <w:ind w:left="-57" w:right="37"/>
              <w:jc w:val="both"/>
              <w:rPr>
                <w:b/>
                <w:sz w:val="24"/>
                <w:szCs w:val="24"/>
              </w:rPr>
            </w:pPr>
            <w:r w:rsidRPr="00ED7263">
              <w:rPr>
                <w:b/>
                <w:sz w:val="24"/>
                <w:szCs w:val="24"/>
              </w:rPr>
              <w:t>Політика у сфері промисловості та підприємництва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line="228"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3F20AC">
            <w:pPr>
              <w:widowControl w:val="0"/>
              <w:spacing w:line="228" w:lineRule="auto"/>
              <w:ind w:left="-57" w:right="-113"/>
              <w:jc w:val="both"/>
              <w:rPr>
                <w:b/>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sz w:val="24"/>
                <w:szCs w:val="24"/>
              </w:rPr>
            </w:pPr>
            <w:r w:rsidRPr="00ED7263">
              <w:rPr>
                <w:sz w:val="24"/>
                <w:szCs w:val="24"/>
              </w:rPr>
              <w:t>Статті 379, 419, 420</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F502DB">
            <w:pPr>
              <w:widowControl w:val="0"/>
              <w:spacing w:before="120" w:line="228" w:lineRule="auto"/>
              <w:ind w:left="-57" w:right="37"/>
              <w:jc w:val="both"/>
              <w:rPr>
                <w:sz w:val="24"/>
                <w:szCs w:val="24"/>
              </w:rPr>
            </w:pPr>
            <w:r w:rsidRPr="00ED7263">
              <w:rPr>
                <w:sz w:val="24"/>
                <w:szCs w:val="24"/>
              </w:rPr>
              <w:t>Сприяння створенню та розширенню інфраструктури для розвитку малого та середнього бізнесу (бізнес-інкубатори, технопарки, фонди підтримки підприємницт</w:t>
            </w:r>
            <w:r w:rsidR="004F2CD9" w:rsidRPr="00ED7263">
              <w:rPr>
                <w:sz w:val="24"/>
                <w:szCs w:val="24"/>
              </w:rPr>
              <w:t>-</w:t>
            </w:r>
            <w:r w:rsidRPr="00ED7263">
              <w:rPr>
                <w:sz w:val="24"/>
                <w:szCs w:val="24"/>
              </w:rPr>
              <w:t>ва) в регіонах, забезпечення участі України у програмах ЄС стосовно розвитку малого та середнього підприємництва</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sz w:val="24"/>
                <w:szCs w:val="24"/>
              </w:rPr>
            </w:pPr>
            <w:r w:rsidRPr="00ED7263">
              <w:rPr>
                <w:sz w:val="24"/>
                <w:szCs w:val="24"/>
              </w:rPr>
              <w:t>2014</w:t>
            </w:r>
            <w:r w:rsidR="00420E66" w:rsidRPr="00ED7263">
              <w:rPr>
                <w:sz w:val="24"/>
                <w:szCs w:val="24"/>
              </w:rPr>
              <w:t xml:space="preserve"> -</w:t>
            </w:r>
            <w:r w:rsidRPr="00ED7263">
              <w:rPr>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20E66" w:rsidRPr="00ED7263" w:rsidRDefault="00420E66" w:rsidP="003F20AC">
            <w:pPr>
              <w:widowControl w:val="0"/>
              <w:spacing w:before="100" w:line="228" w:lineRule="auto"/>
              <w:ind w:left="-57" w:right="-113"/>
              <w:jc w:val="both"/>
              <w:rPr>
                <w:iCs/>
                <w:sz w:val="24"/>
                <w:szCs w:val="24"/>
              </w:rPr>
            </w:pPr>
            <w:r w:rsidRPr="00ED7263">
              <w:rPr>
                <w:iCs/>
                <w:sz w:val="24"/>
                <w:szCs w:val="24"/>
              </w:rPr>
              <w:t>Триває.</w:t>
            </w:r>
          </w:p>
          <w:p w:rsidR="00420E66" w:rsidRPr="00ED7263" w:rsidRDefault="00420E66" w:rsidP="00F502DB">
            <w:pPr>
              <w:widowControl w:val="0"/>
              <w:spacing w:before="100" w:line="228" w:lineRule="auto"/>
              <w:ind w:left="-57"/>
              <w:jc w:val="both"/>
              <w:rPr>
                <w:iCs/>
                <w:sz w:val="24"/>
                <w:szCs w:val="24"/>
              </w:rPr>
            </w:pPr>
            <w:r w:rsidRPr="00ED7263">
              <w:rPr>
                <w:iCs/>
                <w:sz w:val="24"/>
                <w:szCs w:val="24"/>
              </w:rPr>
              <w:t xml:space="preserve">В Донецькій області існує розвинена інфраструктура підтримки підприємництва, яку представляють 27 бізнес-центрів, 6 бізнес-інкубаторів,  38 лізингових підприємств, 8 фондів підтримки підприємництва, 345 інвестиційних та інноваційних підприємств, 620 інформаційно-консультаційних установ. </w:t>
            </w:r>
          </w:p>
          <w:p w:rsidR="00420E66" w:rsidRPr="00ED7263" w:rsidRDefault="00420E66" w:rsidP="00F502DB">
            <w:pPr>
              <w:widowControl w:val="0"/>
              <w:spacing w:before="100" w:line="228" w:lineRule="auto"/>
              <w:ind w:left="-57"/>
              <w:jc w:val="both"/>
              <w:rPr>
                <w:iCs/>
                <w:sz w:val="24"/>
                <w:szCs w:val="24"/>
              </w:rPr>
            </w:pPr>
            <w:r w:rsidRPr="00ED7263">
              <w:rPr>
                <w:iCs/>
                <w:sz w:val="24"/>
                <w:szCs w:val="24"/>
              </w:rPr>
              <w:t>Функціонують Регіональний фонд підтримки підприємництва по Донецькій області (далі – РФПП) та комунальне підприємство «Донецький обласний координаційний центр підтримки підприємництва» (далі – КП ДОКЦПП).</w:t>
            </w:r>
          </w:p>
          <w:p w:rsidR="00420E66" w:rsidRPr="00ED7263" w:rsidRDefault="00420E66" w:rsidP="00F502DB">
            <w:pPr>
              <w:widowControl w:val="0"/>
              <w:spacing w:before="100" w:line="228" w:lineRule="auto"/>
              <w:ind w:left="-57"/>
              <w:jc w:val="both"/>
              <w:rPr>
                <w:iCs/>
                <w:sz w:val="24"/>
                <w:szCs w:val="24"/>
              </w:rPr>
            </w:pPr>
            <w:r w:rsidRPr="00ED7263">
              <w:rPr>
                <w:iCs/>
                <w:sz w:val="24"/>
                <w:szCs w:val="24"/>
              </w:rPr>
              <w:t xml:space="preserve">Об’єкти інноваційної інфраструктури, зокрема ЗАТ «Технологічний парк «Вуглемаш», Донецьке регіональне відділення Державної інноваційної фінансово-кредитної установи, КП «Донецький обласний координаційний центр підтримки підприємництва» (далі КП ДОКЦПП), центри трансферу технологій на базі наукових установ, науково-навчальні центри (комплекси) та цільові науково-дослідні лабораторії на базі провідних вищих навчальних закладів області, спеціалізуються на створенні сприятливих умов для ефективної діяльності інноваційних підприємств малого і середнього бізнесу. </w:t>
            </w:r>
          </w:p>
          <w:p w:rsidR="00420E66" w:rsidRPr="00ED7263" w:rsidRDefault="00420E66" w:rsidP="00F502DB">
            <w:pPr>
              <w:widowControl w:val="0"/>
              <w:spacing w:before="100" w:line="228" w:lineRule="auto"/>
              <w:ind w:left="-57"/>
              <w:jc w:val="both"/>
              <w:rPr>
                <w:iCs/>
                <w:sz w:val="24"/>
                <w:szCs w:val="24"/>
              </w:rPr>
            </w:pPr>
            <w:r w:rsidRPr="00ED7263">
              <w:rPr>
                <w:iCs/>
                <w:sz w:val="24"/>
                <w:szCs w:val="24"/>
              </w:rPr>
              <w:t>В рамках реалізації Регіональної програми розвитку малого і середнього підприємництва в Донецькій області було створено обласний бізнес-інкубатор. КП ДОКЦПП  проведена робота щодо технічного оснащення та забезпечення його діяльності, розроблений та виданий методичний матеріал «Бізнес-інкубатор як стартовий майданчик для створення бізнесу». Проводився прийом документів на вступ до бізнес-інкубатору. КП ДОКЦПП спільно з Донецьким міським бізнес-інкубатором створюється асоціація бізнес-інкубаторів області. Проводиться набір слухачів в групи для навчання.</w:t>
            </w:r>
          </w:p>
          <w:p w:rsidR="005118E7" w:rsidRPr="00ED7263" w:rsidRDefault="005118E7" w:rsidP="00A1719E">
            <w:pPr>
              <w:widowControl w:val="0"/>
              <w:spacing w:before="100" w:line="228" w:lineRule="auto"/>
              <w:ind w:left="-57"/>
              <w:jc w:val="both"/>
              <w:rPr>
                <w:color w:val="FF0000"/>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433F65">
            <w:pPr>
              <w:widowControl w:val="0"/>
              <w:spacing w:before="120" w:line="228" w:lineRule="auto"/>
              <w:ind w:left="-57" w:right="37"/>
              <w:jc w:val="both"/>
              <w:rPr>
                <w:b/>
                <w:sz w:val="24"/>
                <w:szCs w:val="24"/>
                <w:lang w:eastAsia="uk-UA"/>
              </w:rPr>
            </w:pPr>
            <w:r w:rsidRPr="00ED7263">
              <w:rPr>
                <w:b/>
                <w:sz w:val="24"/>
                <w:szCs w:val="24"/>
              </w:rPr>
              <w:t xml:space="preserve">Сільське господарство та розвиток </w:t>
            </w:r>
            <w:r w:rsidRPr="00ED7263">
              <w:rPr>
                <w:b/>
                <w:sz w:val="24"/>
                <w:szCs w:val="24"/>
              </w:rPr>
              <w:lastRenderedPageBreak/>
              <w:t>сільських територій</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3F20AC">
            <w:pPr>
              <w:widowControl w:val="0"/>
              <w:spacing w:before="120" w:line="228" w:lineRule="auto"/>
              <w:ind w:left="-57" w:right="-113"/>
              <w:jc w:val="both"/>
              <w:rPr>
                <w:rStyle w:val="af1"/>
                <w:bCs w:val="0"/>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sz w:val="24"/>
                <w:szCs w:val="24"/>
              </w:rPr>
            </w:pPr>
            <w:r w:rsidRPr="00ED7263">
              <w:rPr>
                <w:sz w:val="24"/>
                <w:szCs w:val="24"/>
              </w:rPr>
              <w:t>Стаття 404</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F502DB">
            <w:pPr>
              <w:widowControl w:val="0"/>
              <w:spacing w:before="120" w:line="228" w:lineRule="auto"/>
              <w:ind w:left="-57"/>
              <w:jc w:val="both"/>
              <w:rPr>
                <w:sz w:val="24"/>
                <w:szCs w:val="24"/>
                <w:lang w:eastAsia="uk-UA"/>
              </w:rPr>
            </w:pPr>
            <w:r w:rsidRPr="00ED7263">
              <w:rPr>
                <w:sz w:val="24"/>
                <w:szCs w:val="24"/>
                <w:lang w:eastAsia="uk-UA"/>
              </w:rPr>
              <w:t xml:space="preserve">Вивчення європейського досвіду місцевого самоврядування, організація семінарів в Україні, навчальних поїздок до держав </w:t>
            </w:r>
            <w:r w:rsidR="00F502DB" w:rsidRPr="00ED7263">
              <w:rPr>
                <w:sz w:val="24"/>
                <w:szCs w:val="24"/>
                <w:lang w:eastAsia="uk-UA"/>
              </w:rPr>
              <w:t>-</w:t>
            </w:r>
            <w:r w:rsidRPr="00ED7263">
              <w:rPr>
                <w:sz w:val="24"/>
                <w:szCs w:val="24"/>
                <w:lang w:eastAsia="uk-UA"/>
              </w:rPr>
              <w:t xml:space="preserve"> членів ЄС тощо</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sz w:val="24"/>
                <w:szCs w:val="24"/>
                <w:lang w:eastAsia="uk-UA"/>
              </w:rPr>
            </w:pPr>
            <w:r w:rsidRPr="00ED7263">
              <w:rPr>
                <w:sz w:val="24"/>
                <w:szCs w:val="24"/>
                <w:lang w:eastAsia="uk-UA"/>
              </w:rPr>
              <w:t>2014</w:t>
            </w:r>
            <w:r w:rsidR="00B30AC7" w:rsidRPr="00ED7263">
              <w:rPr>
                <w:sz w:val="24"/>
                <w:szCs w:val="24"/>
                <w:lang w:eastAsia="uk-UA"/>
              </w:rPr>
              <w:t xml:space="preserve"> -</w:t>
            </w:r>
            <w:r w:rsidRPr="00ED7263">
              <w:rPr>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1B19DC" w:rsidRPr="00ED7263" w:rsidRDefault="001B19DC" w:rsidP="003F20AC">
            <w:pPr>
              <w:widowControl w:val="0"/>
              <w:spacing w:before="120" w:line="228" w:lineRule="auto"/>
              <w:ind w:left="-57" w:right="-113"/>
              <w:jc w:val="both"/>
              <w:rPr>
                <w:sz w:val="24"/>
                <w:szCs w:val="24"/>
                <w:lang w:eastAsia="uk-UA"/>
              </w:rPr>
            </w:pPr>
            <w:r w:rsidRPr="00ED7263">
              <w:rPr>
                <w:sz w:val="24"/>
                <w:szCs w:val="24"/>
                <w:lang w:eastAsia="uk-UA"/>
              </w:rPr>
              <w:t>Триває.</w:t>
            </w:r>
          </w:p>
          <w:p w:rsidR="00A1719E" w:rsidRPr="00ED7263" w:rsidRDefault="00B25B3E" w:rsidP="00F502DB">
            <w:pPr>
              <w:widowControl w:val="0"/>
              <w:spacing w:before="100" w:line="228" w:lineRule="auto"/>
              <w:ind w:left="-57" w:right="33"/>
              <w:jc w:val="both"/>
              <w:rPr>
                <w:iCs/>
                <w:sz w:val="24"/>
                <w:szCs w:val="24"/>
              </w:rPr>
            </w:pPr>
            <w:r w:rsidRPr="00ED7263">
              <w:rPr>
                <w:iCs/>
                <w:sz w:val="24"/>
                <w:szCs w:val="24"/>
              </w:rPr>
              <w:t xml:space="preserve">Поведення АТО на території області ускладнює виконання цього заходу. </w:t>
            </w:r>
          </w:p>
          <w:p w:rsidR="005118E7" w:rsidRPr="00ED7263" w:rsidRDefault="00B25B3E" w:rsidP="001F7C07">
            <w:pPr>
              <w:widowControl w:val="0"/>
              <w:spacing w:before="100" w:line="228" w:lineRule="auto"/>
              <w:ind w:left="-57" w:right="33"/>
              <w:jc w:val="both"/>
              <w:rPr>
                <w:sz w:val="24"/>
                <w:szCs w:val="24"/>
                <w:lang w:eastAsia="uk-UA"/>
              </w:rPr>
            </w:pPr>
            <w:r w:rsidRPr="00ED7263">
              <w:rPr>
                <w:iCs/>
                <w:sz w:val="24"/>
                <w:szCs w:val="24"/>
              </w:rPr>
              <w:t xml:space="preserve">В той же час, </w:t>
            </w:r>
            <w:r w:rsidR="00361779" w:rsidRPr="00ED7263">
              <w:rPr>
                <w:sz w:val="24"/>
                <w:szCs w:val="24"/>
                <w:lang w:eastAsia="uk-UA"/>
              </w:rPr>
              <w:t xml:space="preserve">департаментом агропромислового розвитку облдержадміністрації </w:t>
            </w:r>
            <w:r w:rsidR="001B19DC" w:rsidRPr="00ED7263">
              <w:rPr>
                <w:sz w:val="24"/>
                <w:szCs w:val="24"/>
                <w:lang w:eastAsia="uk-UA"/>
              </w:rPr>
              <w:t>було розпочато роботу з вивчення європейського досвіду місцевого самоврядування та перейнят</w:t>
            </w:r>
            <w:r w:rsidR="00361779" w:rsidRPr="00ED7263">
              <w:rPr>
                <w:sz w:val="24"/>
                <w:szCs w:val="24"/>
                <w:lang w:eastAsia="uk-UA"/>
              </w:rPr>
              <w:t>я</w:t>
            </w:r>
            <w:r w:rsidR="001B19DC" w:rsidRPr="00ED7263">
              <w:rPr>
                <w:sz w:val="24"/>
                <w:szCs w:val="24"/>
                <w:lang w:eastAsia="uk-UA"/>
              </w:rPr>
              <w:t xml:space="preserve"> відповідних ключових моментів для роботи аграрного сектору. </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sz w:val="24"/>
                <w:szCs w:val="24"/>
              </w:rPr>
            </w:pPr>
            <w:r w:rsidRPr="00ED7263">
              <w:rPr>
                <w:sz w:val="24"/>
                <w:szCs w:val="24"/>
              </w:rPr>
              <w:t>Стаття 404</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F502DB">
            <w:pPr>
              <w:widowControl w:val="0"/>
              <w:spacing w:before="120" w:line="228" w:lineRule="auto"/>
              <w:ind w:left="-57" w:right="37"/>
              <w:jc w:val="both"/>
              <w:rPr>
                <w:sz w:val="24"/>
                <w:szCs w:val="24"/>
                <w:lang w:eastAsia="uk-UA"/>
              </w:rPr>
            </w:pPr>
            <w:r w:rsidRPr="00ED7263">
              <w:rPr>
                <w:sz w:val="24"/>
                <w:szCs w:val="24"/>
                <w:lang w:eastAsia="uk-UA"/>
              </w:rPr>
              <w:t>Укладення угод про співробітництво між територіальними громадами для ведення секторального діалогу</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sz w:val="24"/>
                <w:szCs w:val="24"/>
                <w:lang w:val="ru-RU" w:eastAsia="uk-UA"/>
              </w:rPr>
            </w:pPr>
            <w:r w:rsidRPr="00ED7263">
              <w:rPr>
                <w:sz w:val="24"/>
                <w:szCs w:val="24"/>
                <w:lang w:eastAsia="uk-UA"/>
              </w:rPr>
              <w:t>2014</w:t>
            </w:r>
            <w:r w:rsidR="00B30AC7" w:rsidRPr="00ED7263">
              <w:rPr>
                <w:sz w:val="24"/>
                <w:szCs w:val="24"/>
                <w:lang w:eastAsia="uk-UA"/>
              </w:rPr>
              <w:t xml:space="preserve"> -</w:t>
            </w:r>
            <w:r w:rsidRPr="00ED7263">
              <w:rPr>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7581D" w:rsidRPr="00ED7263" w:rsidRDefault="0057581D" w:rsidP="0057581D">
            <w:pPr>
              <w:widowControl w:val="0"/>
              <w:spacing w:before="120" w:line="228" w:lineRule="auto"/>
              <w:ind w:left="-57" w:right="-113"/>
              <w:jc w:val="both"/>
              <w:rPr>
                <w:sz w:val="24"/>
                <w:szCs w:val="24"/>
              </w:rPr>
            </w:pPr>
            <w:r w:rsidRPr="00ED7263">
              <w:rPr>
                <w:sz w:val="24"/>
                <w:szCs w:val="24"/>
              </w:rPr>
              <w:t>Триває.</w:t>
            </w:r>
          </w:p>
          <w:p w:rsidR="005118E7" w:rsidRPr="00ED7263" w:rsidRDefault="004543C0" w:rsidP="00A1719E">
            <w:pPr>
              <w:widowControl w:val="0"/>
              <w:spacing w:before="100" w:line="228" w:lineRule="auto"/>
              <w:ind w:left="-57"/>
              <w:jc w:val="both"/>
              <w:rPr>
                <w:color w:val="FF0000"/>
                <w:sz w:val="24"/>
                <w:szCs w:val="24"/>
                <w:lang w:eastAsia="uk-UA"/>
              </w:rPr>
            </w:pPr>
            <w:r w:rsidRPr="00ED7263">
              <w:rPr>
                <w:iCs/>
                <w:sz w:val="24"/>
                <w:szCs w:val="24"/>
              </w:rPr>
              <w:t>Поведення АТО на території області у</w:t>
            </w:r>
            <w:r w:rsidR="00A1719E" w:rsidRPr="00ED7263">
              <w:rPr>
                <w:iCs/>
                <w:sz w:val="24"/>
                <w:szCs w:val="24"/>
              </w:rPr>
              <w:t xml:space="preserve">неможливлює </w:t>
            </w:r>
            <w:r w:rsidRPr="00ED7263">
              <w:rPr>
                <w:iCs/>
                <w:sz w:val="24"/>
                <w:szCs w:val="24"/>
              </w:rPr>
              <w:t>виконання цього заходу.</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F502DB">
            <w:pPr>
              <w:widowControl w:val="0"/>
              <w:spacing w:before="120" w:line="228" w:lineRule="auto"/>
              <w:ind w:left="-57" w:right="-248"/>
              <w:jc w:val="both"/>
              <w:rPr>
                <w:b/>
                <w:sz w:val="24"/>
                <w:szCs w:val="24"/>
              </w:rPr>
            </w:pPr>
            <w:r w:rsidRPr="00ED7263">
              <w:rPr>
                <w:b/>
                <w:sz w:val="24"/>
                <w:szCs w:val="24"/>
              </w:rPr>
              <w:t>Освіта, навчання та молодь</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EF73A8">
            <w:pPr>
              <w:widowControl w:val="0"/>
              <w:spacing w:before="120" w:line="228"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118E7" w:rsidRPr="00ED7263" w:rsidRDefault="005118E7" w:rsidP="003F20AC">
            <w:pPr>
              <w:widowControl w:val="0"/>
              <w:spacing w:before="120" w:line="228" w:lineRule="auto"/>
              <w:ind w:left="-57" w:right="-113"/>
              <w:jc w:val="both"/>
              <w:rPr>
                <w:rStyle w:val="af1"/>
                <w:bCs w:val="0"/>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120" w:line="228" w:lineRule="auto"/>
              <w:ind w:left="-57" w:right="-113"/>
              <w:rPr>
                <w:sz w:val="24"/>
                <w:szCs w:val="24"/>
              </w:rPr>
            </w:pPr>
            <w:r w:rsidRPr="00ED7263">
              <w:rPr>
                <w:sz w:val="24"/>
                <w:szCs w:val="24"/>
              </w:rPr>
              <w:t>Стаття 440</w:t>
            </w:r>
            <w:r w:rsidRPr="00ED7263">
              <w:rPr>
                <w:sz w:val="24"/>
                <w:szCs w:val="24"/>
              </w:rPr>
              <w:br/>
            </w: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120" w:line="228" w:lineRule="auto"/>
              <w:ind w:left="-57" w:right="37"/>
              <w:jc w:val="both"/>
              <w:rPr>
                <w:sz w:val="24"/>
                <w:szCs w:val="24"/>
              </w:rPr>
            </w:pPr>
            <w:r w:rsidRPr="00ED7263">
              <w:rPr>
                <w:sz w:val="24"/>
                <w:szCs w:val="24"/>
              </w:rPr>
              <w:t xml:space="preserve">Імплементація Конвенції про </w:t>
            </w:r>
            <w:r w:rsidRPr="00ED7263">
              <w:rPr>
                <w:spacing w:val="-4"/>
                <w:sz w:val="24"/>
                <w:szCs w:val="24"/>
              </w:rPr>
              <w:t>охорону і заохочення розмаїття форм культурного самовираження 2005 року</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spacing w:before="120" w:line="228" w:lineRule="auto"/>
              <w:ind w:left="-57" w:right="-113"/>
              <w:rPr>
                <w:sz w:val="24"/>
                <w:szCs w:val="24"/>
              </w:rPr>
            </w:pPr>
            <w:r w:rsidRPr="00ED7263">
              <w:rPr>
                <w:sz w:val="24"/>
                <w:szCs w:val="24"/>
              </w:rPr>
              <w:t>2014</w:t>
            </w:r>
            <w:r w:rsidR="00B30AC7" w:rsidRPr="00ED7263">
              <w:rPr>
                <w:sz w:val="24"/>
                <w:szCs w:val="24"/>
              </w:rPr>
              <w:t xml:space="preserve"> -</w:t>
            </w:r>
            <w:r w:rsidRPr="00ED7263">
              <w:rPr>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tcPr>
          <w:p w:rsidR="003A2DF5" w:rsidRPr="00ED7263" w:rsidRDefault="003A2DF5" w:rsidP="003F20AC">
            <w:pPr>
              <w:widowControl w:val="0"/>
              <w:spacing w:before="120" w:line="228" w:lineRule="auto"/>
              <w:ind w:left="-57" w:right="-113"/>
              <w:jc w:val="both"/>
              <w:rPr>
                <w:sz w:val="24"/>
                <w:szCs w:val="24"/>
              </w:rPr>
            </w:pPr>
            <w:r w:rsidRPr="00ED7263">
              <w:rPr>
                <w:sz w:val="24"/>
                <w:szCs w:val="24"/>
              </w:rPr>
              <w:t>Триває.</w:t>
            </w:r>
          </w:p>
          <w:p w:rsidR="005118E7" w:rsidRPr="00ED7263" w:rsidRDefault="003A2DF5" w:rsidP="00ED7263">
            <w:pPr>
              <w:widowControl w:val="0"/>
              <w:spacing w:before="120" w:line="228" w:lineRule="auto"/>
              <w:ind w:left="-57" w:right="33"/>
              <w:jc w:val="both"/>
              <w:rPr>
                <w:sz w:val="24"/>
                <w:szCs w:val="24"/>
              </w:rPr>
            </w:pPr>
            <w:r w:rsidRPr="00ED7263">
              <w:rPr>
                <w:sz w:val="24"/>
                <w:szCs w:val="24"/>
              </w:rPr>
              <w:t>При розробці містобудівної документації забудови населеного пункту на території області враховується надбання культурної спадщини, національні традиції в архітектурних формах, фасадах будинків та оздобленні парканів.</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spacing w:before="120" w:line="228" w:lineRule="auto"/>
              <w:ind w:left="-57" w:right="-113"/>
              <w:rPr>
                <w:b/>
                <w:sz w:val="24"/>
                <w:szCs w:val="24"/>
              </w:rPr>
            </w:pP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120" w:line="228" w:lineRule="auto"/>
              <w:ind w:left="-57" w:right="-248"/>
              <w:rPr>
                <w:b/>
                <w:sz w:val="24"/>
                <w:szCs w:val="24"/>
              </w:rPr>
            </w:pPr>
            <w:r w:rsidRPr="00ED7263">
              <w:rPr>
                <w:b/>
                <w:sz w:val="24"/>
                <w:szCs w:val="24"/>
              </w:rPr>
              <w:t xml:space="preserve">Транскордонне </w:t>
            </w:r>
            <w:r w:rsidR="00000C29" w:rsidRPr="00ED7263">
              <w:rPr>
                <w:b/>
                <w:sz w:val="24"/>
                <w:szCs w:val="24"/>
                <w:lang w:val="ru-RU"/>
              </w:rPr>
              <w:t xml:space="preserve"> </w:t>
            </w:r>
            <w:r w:rsidRPr="00ED7263">
              <w:rPr>
                <w:b/>
                <w:sz w:val="24"/>
                <w:szCs w:val="24"/>
              </w:rPr>
              <w:t>та регіональне співробітництво</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spacing w:before="120" w:line="228" w:lineRule="auto"/>
              <w:ind w:left="-57" w:right="-113"/>
              <w:rPr>
                <w:b/>
                <w:sz w:val="24"/>
                <w:szCs w:val="24"/>
              </w:rPr>
            </w:pPr>
          </w:p>
        </w:tc>
        <w:tc>
          <w:tcPr>
            <w:tcW w:w="2670" w:type="pct"/>
            <w:tcBorders>
              <w:top w:val="single" w:sz="4" w:space="0" w:color="auto"/>
              <w:left w:val="single" w:sz="4" w:space="0" w:color="auto"/>
              <w:bottom w:val="single" w:sz="4" w:space="0" w:color="auto"/>
              <w:right w:val="single" w:sz="4" w:space="0" w:color="auto"/>
            </w:tcBorders>
          </w:tcPr>
          <w:p w:rsidR="005118E7" w:rsidRPr="00ED7263" w:rsidRDefault="005118E7" w:rsidP="003F20AC">
            <w:pPr>
              <w:widowControl w:val="0"/>
              <w:spacing w:before="120" w:line="228" w:lineRule="auto"/>
              <w:ind w:left="-57" w:right="-113"/>
              <w:jc w:val="both"/>
              <w:rPr>
                <w:b/>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BC2B8F">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241C9D">
            <w:pPr>
              <w:widowControl w:val="0"/>
              <w:spacing w:before="120" w:line="228" w:lineRule="auto"/>
              <w:ind w:left="-57" w:right="-113"/>
              <w:rPr>
                <w:sz w:val="24"/>
                <w:szCs w:val="24"/>
              </w:rPr>
            </w:pPr>
            <w:r w:rsidRPr="00ED7263">
              <w:rPr>
                <w:sz w:val="24"/>
                <w:szCs w:val="24"/>
              </w:rPr>
              <w:t>Стаття 4</w:t>
            </w:r>
            <w:r w:rsidRPr="00ED7263">
              <w:rPr>
                <w:sz w:val="24"/>
                <w:szCs w:val="24"/>
                <w:lang w:val="ru-RU"/>
              </w:rPr>
              <w:t>4</w:t>
            </w:r>
            <w:r w:rsidRPr="00ED7263">
              <w:rPr>
                <w:sz w:val="24"/>
                <w:szCs w:val="24"/>
              </w:rPr>
              <w:t>6</w:t>
            </w:r>
            <w:r w:rsidRPr="00ED7263">
              <w:rPr>
                <w:sz w:val="24"/>
                <w:szCs w:val="24"/>
              </w:rPr>
              <w:br/>
            </w: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120" w:line="228" w:lineRule="auto"/>
              <w:ind w:left="-57" w:right="37"/>
              <w:jc w:val="both"/>
              <w:rPr>
                <w:sz w:val="24"/>
                <w:szCs w:val="24"/>
              </w:rPr>
            </w:pPr>
            <w:r w:rsidRPr="00ED7263">
              <w:rPr>
                <w:sz w:val="24"/>
                <w:szCs w:val="24"/>
              </w:rPr>
              <w:t xml:space="preserve">Активізація співпраці з державами </w:t>
            </w:r>
            <w:r w:rsidR="003A2DF5" w:rsidRPr="00ED7263">
              <w:rPr>
                <w:sz w:val="24"/>
                <w:szCs w:val="24"/>
              </w:rPr>
              <w:t>-</w:t>
            </w:r>
            <w:r w:rsidRPr="00ED7263">
              <w:rPr>
                <w:sz w:val="24"/>
                <w:szCs w:val="24"/>
              </w:rPr>
              <w:t xml:space="preserve"> членами ЄС щодо обміну інформацією про методи планування і реалізації державної політики регіонального розвитку</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B30AC7" w:rsidP="00EF73A8">
            <w:pPr>
              <w:widowControl w:val="0"/>
              <w:spacing w:before="120" w:line="228" w:lineRule="auto"/>
              <w:ind w:left="-57" w:right="-113"/>
              <w:rPr>
                <w:sz w:val="24"/>
                <w:szCs w:val="24"/>
                <w:lang w:eastAsia="uk-UA"/>
              </w:rPr>
            </w:pPr>
            <w:r w:rsidRPr="00ED7263">
              <w:rPr>
                <w:sz w:val="24"/>
                <w:szCs w:val="24"/>
                <w:lang w:eastAsia="uk-UA"/>
              </w:rPr>
              <w:t>2014 -</w:t>
            </w:r>
            <w:r w:rsidRPr="00ED7263">
              <w:rPr>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ED7263" w:rsidRDefault="00A338E9" w:rsidP="003F20AC">
            <w:pPr>
              <w:widowControl w:val="0"/>
              <w:spacing w:before="120" w:line="228" w:lineRule="auto"/>
              <w:ind w:left="-57" w:right="-113"/>
              <w:jc w:val="both"/>
              <w:rPr>
                <w:iCs/>
                <w:sz w:val="24"/>
                <w:szCs w:val="24"/>
              </w:rPr>
            </w:pPr>
            <w:r w:rsidRPr="00ED7263">
              <w:rPr>
                <w:iCs/>
                <w:sz w:val="24"/>
                <w:szCs w:val="24"/>
              </w:rPr>
              <w:t>Триває.</w:t>
            </w:r>
          </w:p>
          <w:p w:rsidR="00A338E9" w:rsidRPr="00ED7263" w:rsidRDefault="00A338E9" w:rsidP="00F502DB">
            <w:pPr>
              <w:widowControl w:val="0"/>
              <w:spacing w:before="120" w:line="228" w:lineRule="auto"/>
              <w:ind w:left="-57" w:right="33"/>
              <w:jc w:val="both"/>
              <w:rPr>
                <w:iCs/>
                <w:sz w:val="24"/>
                <w:szCs w:val="24"/>
              </w:rPr>
            </w:pPr>
            <w:r w:rsidRPr="00ED7263">
              <w:rPr>
                <w:iCs/>
                <w:sz w:val="24"/>
                <w:szCs w:val="24"/>
              </w:rPr>
              <w:t>Облдержадміністрація активно співпрацює з</w:t>
            </w:r>
            <w:r w:rsidR="00000C29" w:rsidRPr="00ED7263">
              <w:rPr>
                <w:iCs/>
                <w:sz w:val="24"/>
                <w:szCs w:val="24"/>
              </w:rPr>
              <w:t>а</w:t>
            </w:r>
            <w:r w:rsidRPr="00ED7263">
              <w:rPr>
                <w:iCs/>
                <w:sz w:val="24"/>
                <w:szCs w:val="24"/>
              </w:rPr>
              <w:t xml:space="preserve"> проектом Європейського Союзу «Підтримка політики регіонального розвитку в Україні» (далі – проект ЄС) в рамках розробки Стратегії розвитку Донецької області на період до 2020 року.</w:t>
            </w:r>
          </w:p>
          <w:p w:rsidR="00A338E9" w:rsidRPr="00ED7263" w:rsidRDefault="00A338E9" w:rsidP="00F502DB">
            <w:pPr>
              <w:widowControl w:val="0"/>
              <w:spacing w:before="120" w:line="228" w:lineRule="auto"/>
              <w:ind w:left="-57" w:right="33"/>
              <w:jc w:val="both"/>
              <w:rPr>
                <w:iCs/>
                <w:sz w:val="24"/>
                <w:szCs w:val="24"/>
              </w:rPr>
            </w:pPr>
            <w:r w:rsidRPr="00ED7263">
              <w:rPr>
                <w:iCs/>
                <w:sz w:val="24"/>
                <w:szCs w:val="24"/>
              </w:rPr>
              <w:t>З метою практичного ознайомлення із методологією розробки планувальних документів та подальшого застосування набутих знань у своїй області, представники області брали участь у практичному семінарі проекту ЄС із розробки стратегій регіонального розвитку.</w:t>
            </w:r>
          </w:p>
          <w:p w:rsidR="005118E7" w:rsidRPr="00ED7263" w:rsidRDefault="00A338E9" w:rsidP="00A1719E">
            <w:pPr>
              <w:widowControl w:val="0"/>
              <w:spacing w:before="120" w:line="228" w:lineRule="auto"/>
              <w:ind w:left="-57" w:right="33"/>
              <w:jc w:val="both"/>
              <w:rPr>
                <w:color w:val="FF0000"/>
                <w:sz w:val="24"/>
                <w:szCs w:val="24"/>
              </w:rPr>
            </w:pPr>
            <w:r w:rsidRPr="00ED7263">
              <w:rPr>
                <w:iCs/>
                <w:sz w:val="24"/>
                <w:szCs w:val="24"/>
              </w:rPr>
              <w:t>При розробці Стратегії розвитку Донецької області на період до 2020 року активно використовується методологічні матеріали та консультаційний  супровід від експертів проекту ЄС.</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numPr>
                <w:ilvl w:val="0"/>
                <w:numId w:val="1"/>
              </w:numPr>
              <w:tabs>
                <w:tab w:val="num" w:pos="504"/>
              </w:tabs>
              <w:spacing w:before="6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60" w:line="228" w:lineRule="auto"/>
              <w:ind w:left="-57" w:right="-113"/>
              <w:rPr>
                <w:sz w:val="24"/>
                <w:szCs w:val="24"/>
              </w:rPr>
            </w:pPr>
            <w:r w:rsidRPr="00ED7263">
              <w:rPr>
                <w:sz w:val="24"/>
                <w:szCs w:val="24"/>
              </w:rPr>
              <w:t>Статті 446, 448</w:t>
            </w:r>
            <w:r w:rsidRPr="00ED7263">
              <w:rPr>
                <w:sz w:val="24"/>
                <w:szCs w:val="24"/>
              </w:rPr>
              <w:br/>
            </w: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60" w:line="228" w:lineRule="auto"/>
              <w:ind w:left="-57"/>
              <w:jc w:val="both"/>
              <w:rPr>
                <w:sz w:val="24"/>
                <w:szCs w:val="24"/>
              </w:rPr>
            </w:pPr>
            <w:r w:rsidRPr="00ED7263">
              <w:rPr>
                <w:sz w:val="24"/>
                <w:szCs w:val="24"/>
              </w:rPr>
              <w:t>Проведення презентацій економічного та інвестиційного потенціалу регіонів України в органах і структурах ЄС</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B30AC7" w:rsidP="00EF73A8">
            <w:pPr>
              <w:widowControl w:val="0"/>
              <w:spacing w:before="60" w:line="228" w:lineRule="auto"/>
              <w:ind w:left="-57" w:right="-113"/>
              <w:rPr>
                <w:sz w:val="24"/>
                <w:szCs w:val="24"/>
              </w:rPr>
            </w:pPr>
            <w:r w:rsidRPr="00ED7263">
              <w:rPr>
                <w:sz w:val="24"/>
                <w:szCs w:val="24"/>
                <w:lang w:eastAsia="uk-UA"/>
              </w:rPr>
              <w:t>2014 -</w:t>
            </w:r>
            <w:r w:rsidRPr="00ED7263">
              <w:rPr>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ED7263" w:rsidRDefault="00000C29" w:rsidP="003F20AC">
            <w:pPr>
              <w:widowControl w:val="0"/>
              <w:spacing w:before="120" w:line="228" w:lineRule="auto"/>
              <w:ind w:left="-57" w:right="-113"/>
              <w:jc w:val="both"/>
              <w:rPr>
                <w:iCs/>
                <w:sz w:val="24"/>
                <w:szCs w:val="24"/>
              </w:rPr>
            </w:pPr>
            <w:r w:rsidRPr="00ED7263">
              <w:rPr>
                <w:iCs/>
                <w:sz w:val="24"/>
                <w:szCs w:val="24"/>
                <w:lang w:val="ru-RU"/>
              </w:rPr>
              <w:t>Трива</w:t>
            </w:r>
            <w:r w:rsidRPr="00ED7263">
              <w:rPr>
                <w:iCs/>
                <w:sz w:val="24"/>
                <w:szCs w:val="24"/>
              </w:rPr>
              <w:t>є.</w:t>
            </w:r>
          </w:p>
          <w:p w:rsidR="00495E36" w:rsidRPr="00ED7263" w:rsidRDefault="004543C0" w:rsidP="0075586B">
            <w:pPr>
              <w:widowControl w:val="0"/>
              <w:spacing w:before="120" w:line="228" w:lineRule="auto"/>
              <w:ind w:left="-57"/>
              <w:jc w:val="both"/>
              <w:rPr>
                <w:iCs/>
                <w:sz w:val="24"/>
                <w:szCs w:val="24"/>
              </w:rPr>
            </w:pPr>
            <w:r w:rsidRPr="00ED7263">
              <w:rPr>
                <w:iCs/>
                <w:sz w:val="24"/>
                <w:szCs w:val="24"/>
              </w:rPr>
              <w:t>П</w:t>
            </w:r>
            <w:r w:rsidR="00495E36" w:rsidRPr="00ED7263">
              <w:rPr>
                <w:sz w:val="24"/>
                <w:szCs w:val="24"/>
              </w:rPr>
              <w:t xml:space="preserve">резентації економічного та інвестиційного потенціалу області в органах і </w:t>
            </w:r>
            <w:r w:rsidR="00495E36" w:rsidRPr="00ED7263">
              <w:rPr>
                <w:sz w:val="24"/>
                <w:szCs w:val="24"/>
              </w:rPr>
              <w:lastRenderedPageBreak/>
              <w:t>структурах ЄС</w:t>
            </w:r>
            <w:r w:rsidR="00495E36" w:rsidRPr="00ED7263">
              <w:rPr>
                <w:iCs/>
                <w:sz w:val="24"/>
                <w:szCs w:val="24"/>
              </w:rPr>
              <w:t xml:space="preserve"> не відбувалися. </w:t>
            </w:r>
          </w:p>
          <w:p w:rsidR="005118E7" w:rsidRPr="00ED7263" w:rsidRDefault="00495E36" w:rsidP="001F7C07">
            <w:pPr>
              <w:widowControl w:val="0"/>
              <w:spacing w:before="120" w:line="228" w:lineRule="auto"/>
              <w:ind w:left="-57"/>
              <w:jc w:val="both"/>
              <w:rPr>
                <w:sz w:val="24"/>
                <w:szCs w:val="24"/>
              </w:rPr>
            </w:pPr>
            <w:r w:rsidRPr="00ED7263">
              <w:rPr>
                <w:iCs/>
                <w:sz w:val="24"/>
                <w:szCs w:val="24"/>
              </w:rPr>
              <w:t xml:space="preserve">В той же час,  </w:t>
            </w:r>
            <w:r w:rsidR="001F7C07">
              <w:rPr>
                <w:iCs/>
                <w:sz w:val="24"/>
                <w:szCs w:val="24"/>
              </w:rPr>
              <w:t>у 1 кв. 2015 року в області перебували іноземні</w:t>
            </w:r>
            <w:r w:rsidRPr="00ED7263">
              <w:rPr>
                <w:iCs/>
                <w:sz w:val="24"/>
                <w:szCs w:val="24"/>
              </w:rPr>
              <w:t xml:space="preserve"> делегаці</w:t>
            </w:r>
            <w:r w:rsidR="001F7C07">
              <w:rPr>
                <w:iCs/>
                <w:sz w:val="24"/>
                <w:szCs w:val="24"/>
              </w:rPr>
              <w:t>ї</w:t>
            </w:r>
            <w:r w:rsidRPr="00ED7263">
              <w:rPr>
                <w:iCs/>
                <w:sz w:val="24"/>
                <w:szCs w:val="24"/>
              </w:rPr>
              <w:t xml:space="preserve"> (в з </w:t>
            </w:r>
            <w:r w:rsidR="001F7C07">
              <w:rPr>
                <w:iCs/>
                <w:sz w:val="24"/>
                <w:szCs w:val="24"/>
              </w:rPr>
              <w:t>к</w:t>
            </w:r>
            <w:r w:rsidRPr="00ED7263">
              <w:rPr>
                <w:iCs/>
                <w:sz w:val="24"/>
                <w:szCs w:val="24"/>
              </w:rPr>
              <w:t xml:space="preserve">раїн </w:t>
            </w:r>
            <w:r w:rsidR="001F7C07">
              <w:rPr>
                <w:iCs/>
                <w:sz w:val="24"/>
                <w:szCs w:val="24"/>
              </w:rPr>
              <w:t>ЄС</w:t>
            </w:r>
            <w:r w:rsidRPr="00ED7263">
              <w:rPr>
                <w:iCs/>
                <w:sz w:val="24"/>
                <w:szCs w:val="24"/>
              </w:rPr>
              <w:t xml:space="preserve">: Великобританії, Данії, Литви, Польщі, Словаччини, Угорщини, ФРН, Франції, Чехії, Швеції та Швейцарії тощо), в тому числі делегації Європейського Союзу, ОБСЄ, ПАРЄ та ООН. </w:t>
            </w:r>
            <w:r w:rsidR="00544907" w:rsidRPr="00ED7263">
              <w:rPr>
                <w:iCs/>
                <w:sz w:val="24"/>
                <w:szCs w:val="24"/>
              </w:rPr>
              <w:t xml:space="preserve">Під час прийому делегацій обгаворювалися питання щодо </w:t>
            </w:r>
            <w:r w:rsidR="00544907" w:rsidRPr="00ED7263">
              <w:rPr>
                <w:sz w:val="24"/>
                <w:szCs w:val="24"/>
              </w:rPr>
              <w:t>економічного та інвестиційного стану регіону і майбутнього співробітництва.</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tabs>
                <w:tab w:val="num" w:pos="504"/>
                <w:tab w:val="num" w:pos="540"/>
              </w:tabs>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120" w:line="228" w:lineRule="auto"/>
              <w:ind w:left="-57" w:right="-113"/>
              <w:rPr>
                <w:b/>
                <w:sz w:val="24"/>
                <w:szCs w:val="24"/>
              </w:rPr>
            </w:pP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120" w:line="228" w:lineRule="auto"/>
              <w:ind w:left="-57" w:right="-248"/>
              <w:rPr>
                <w:b/>
                <w:sz w:val="24"/>
                <w:szCs w:val="24"/>
              </w:rPr>
            </w:pPr>
            <w:r w:rsidRPr="00ED7263">
              <w:rPr>
                <w:b/>
                <w:sz w:val="24"/>
                <w:szCs w:val="24"/>
              </w:rPr>
              <w:t>Фінансове співробітництво, зокрема боротьба з шахрайством</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tabs>
                <w:tab w:val="left" w:pos="6120"/>
              </w:tabs>
              <w:spacing w:before="120" w:line="228" w:lineRule="auto"/>
              <w:ind w:left="-57" w:right="-113"/>
              <w:rPr>
                <w:b/>
                <w:sz w:val="24"/>
                <w:szCs w:val="24"/>
                <w:lang w:eastAsia="uk-UA"/>
              </w:rPr>
            </w:pPr>
          </w:p>
        </w:tc>
        <w:tc>
          <w:tcPr>
            <w:tcW w:w="2670" w:type="pct"/>
            <w:tcBorders>
              <w:top w:val="single" w:sz="4" w:space="0" w:color="auto"/>
              <w:left w:val="single" w:sz="4" w:space="0" w:color="auto"/>
              <w:bottom w:val="single" w:sz="4" w:space="0" w:color="auto"/>
              <w:right w:val="single" w:sz="4" w:space="0" w:color="auto"/>
            </w:tcBorders>
          </w:tcPr>
          <w:p w:rsidR="005118E7" w:rsidRPr="00ED7263" w:rsidRDefault="005118E7" w:rsidP="003F20AC">
            <w:pPr>
              <w:widowControl w:val="0"/>
              <w:tabs>
                <w:tab w:val="left" w:pos="6120"/>
              </w:tabs>
              <w:spacing w:before="120" w:line="228" w:lineRule="auto"/>
              <w:ind w:left="-57" w:right="-113"/>
              <w:jc w:val="both"/>
              <w:rPr>
                <w:b/>
                <w:bCs/>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numPr>
                <w:ilvl w:val="0"/>
                <w:numId w:val="1"/>
              </w:numPr>
              <w:tabs>
                <w:tab w:val="num" w:pos="504"/>
              </w:tabs>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120" w:line="228" w:lineRule="auto"/>
              <w:ind w:left="-57" w:right="-113"/>
              <w:rPr>
                <w:sz w:val="24"/>
                <w:szCs w:val="24"/>
              </w:rPr>
            </w:pPr>
            <w:r w:rsidRPr="00ED7263">
              <w:rPr>
                <w:sz w:val="24"/>
                <w:szCs w:val="24"/>
              </w:rPr>
              <w:t>Стаття 453</w:t>
            </w:r>
            <w:r w:rsidRPr="00ED7263">
              <w:rPr>
                <w:sz w:val="24"/>
                <w:szCs w:val="24"/>
              </w:rPr>
              <w:br/>
            </w: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F502DB">
            <w:pPr>
              <w:widowControl w:val="0"/>
              <w:spacing w:before="120" w:line="228" w:lineRule="auto"/>
              <w:ind w:left="-57"/>
              <w:jc w:val="both"/>
              <w:rPr>
                <w:sz w:val="24"/>
                <w:szCs w:val="24"/>
              </w:rPr>
            </w:pPr>
            <w:r w:rsidRPr="00ED7263">
              <w:rPr>
                <w:sz w:val="24"/>
                <w:szCs w:val="24"/>
              </w:rPr>
              <w:t>Залучення допомоги ЄС у рамках Всеохоплюючої інституційної розбудови, інструментів Twinning, TAIEX та забезпечення співпраці у рамках програми SIGMA</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spacing w:before="120"/>
              <w:rPr>
                <w:sz w:val="24"/>
                <w:szCs w:val="24"/>
              </w:rPr>
            </w:pPr>
            <w:r w:rsidRPr="00ED7263">
              <w:rPr>
                <w:sz w:val="24"/>
                <w:szCs w:val="24"/>
                <w:lang w:eastAsia="uk-UA"/>
              </w:rPr>
              <w:t>2014</w:t>
            </w:r>
            <w:r w:rsidR="00B30AC7" w:rsidRPr="00ED7263">
              <w:rPr>
                <w:sz w:val="24"/>
                <w:szCs w:val="24"/>
                <w:lang w:eastAsia="uk-UA"/>
              </w:rPr>
              <w:t xml:space="preserve"> -</w:t>
            </w:r>
            <w:r w:rsidRPr="00ED7263">
              <w:rPr>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ED7263" w:rsidRDefault="004543C0" w:rsidP="003F20AC">
            <w:pPr>
              <w:widowControl w:val="0"/>
              <w:spacing w:before="120" w:line="228" w:lineRule="auto"/>
              <w:ind w:left="-57" w:right="-113"/>
              <w:jc w:val="both"/>
              <w:rPr>
                <w:iCs/>
                <w:sz w:val="24"/>
                <w:szCs w:val="24"/>
              </w:rPr>
            </w:pPr>
            <w:r w:rsidRPr="00ED7263">
              <w:rPr>
                <w:iCs/>
                <w:sz w:val="24"/>
                <w:szCs w:val="24"/>
              </w:rPr>
              <w:t>Триває.</w:t>
            </w:r>
          </w:p>
          <w:p w:rsidR="00DB3D1F" w:rsidRPr="00ED7263" w:rsidRDefault="001F7C07" w:rsidP="00F502DB">
            <w:pPr>
              <w:widowControl w:val="0"/>
              <w:spacing w:before="120" w:line="228" w:lineRule="auto"/>
              <w:ind w:left="-57"/>
              <w:jc w:val="both"/>
              <w:rPr>
                <w:iCs/>
                <w:sz w:val="24"/>
                <w:szCs w:val="24"/>
              </w:rPr>
            </w:pPr>
            <w:r>
              <w:rPr>
                <w:iCs/>
                <w:sz w:val="24"/>
                <w:szCs w:val="24"/>
              </w:rPr>
              <w:t>В</w:t>
            </w:r>
            <w:r w:rsidR="00DB3D1F" w:rsidRPr="00ED7263">
              <w:rPr>
                <w:iCs/>
                <w:sz w:val="24"/>
                <w:szCs w:val="24"/>
              </w:rPr>
              <w:t xml:space="preserve">ідбувся візит до м. Краматорськ делегації Представництва Організації Об'єднаних Націй в Україні на чолі з Координатором системи ООН в Україні та Постійним представником Програми Розвитку ООН в Україні Нілом Вокером. </w:t>
            </w:r>
          </w:p>
          <w:p w:rsidR="00DB3D1F" w:rsidRPr="00ED7263" w:rsidRDefault="00DB3D1F" w:rsidP="00F502DB">
            <w:pPr>
              <w:widowControl w:val="0"/>
              <w:spacing w:before="120" w:line="228" w:lineRule="auto"/>
              <w:ind w:left="-57"/>
              <w:jc w:val="both"/>
              <w:rPr>
                <w:iCs/>
                <w:sz w:val="24"/>
                <w:szCs w:val="24"/>
              </w:rPr>
            </w:pPr>
            <w:r w:rsidRPr="00ED7263">
              <w:rPr>
                <w:iCs/>
                <w:sz w:val="24"/>
                <w:szCs w:val="24"/>
              </w:rPr>
              <w:t>Члени делегації ознайомилися з ситуацією в області та особисто  визначалися із сферами, які можуть потребувати додаткової підтримки ООН.</w:t>
            </w:r>
          </w:p>
          <w:p w:rsidR="00DB3D1F" w:rsidRPr="00A800B4" w:rsidRDefault="00DB3D1F" w:rsidP="00F502DB">
            <w:pPr>
              <w:widowControl w:val="0"/>
              <w:spacing w:before="120" w:line="228" w:lineRule="auto"/>
              <w:ind w:left="-57"/>
              <w:jc w:val="both"/>
              <w:rPr>
                <w:iCs/>
                <w:sz w:val="24"/>
                <w:szCs w:val="24"/>
              </w:rPr>
            </w:pPr>
            <w:r w:rsidRPr="00ED7263">
              <w:rPr>
                <w:iCs/>
                <w:sz w:val="24"/>
                <w:szCs w:val="24"/>
              </w:rPr>
              <w:t>Ніл Вокер запевнив керівництво облдержадміністрації, що мешканці та громади Донецької області можуть розраховувати на підтримку ООН</w:t>
            </w:r>
            <w:r w:rsidR="00A1719E" w:rsidRPr="00ED7263">
              <w:rPr>
                <w:iCs/>
                <w:sz w:val="24"/>
                <w:szCs w:val="24"/>
              </w:rPr>
              <w:t xml:space="preserve"> та ЄС</w:t>
            </w:r>
            <w:r w:rsidRPr="00ED7263">
              <w:rPr>
                <w:iCs/>
                <w:sz w:val="24"/>
                <w:szCs w:val="24"/>
              </w:rPr>
              <w:t xml:space="preserve">. Він також повідомив, що ООН готово приступити до реалізації третього етапу проекту </w:t>
            </w:r>
            <w:r w:rsidR="002712CE" w:rsidRPr="00ED7263">
              <w:rPr>
                <w:iCs/>
                <w:sz w:val="24"/>
                <w:szCs w:val="24"/>
              </w:rPr>
              <w:t xml:space="preserve">Програми розвитку ООН/ЄС </w:t>
            </w:r>
            <w:r w:rsidRPr="00ED7263">
              <w:rPr>
                <w:iCs/>
                <w:sz w:val="24"/>
                <w:szCs w:val="24"/>
              </w:rPr>
              <w:t>«Місцевий розвиток, орієнтований на громаду»</w:t>
            </w:r>
            <w:r w:rsidR="00A800B4" w:rsidRPr="00A800B4">
              <w:rPr>
                <w:iCs/>
                <w:sz w:val="24"/>
                <w:szCs w:val="24"/>
              </w:rPr>
              <w:t>.</w:t>
            </w:r>
          </w:p>
          <w:p w:rsidR="005118E7" w:rsidRPr="00ED7263" w:rsidRDefault="00DB3D1F" w:rsidP="001F7C07">
            <w:pPr>
              <w:widowControl w:val="0"/>
              <w:spacing w:before="120" w:line="228" w:lineRule="auto"/>
              <w:ind w:left="-57"/>
              <w:jc w:val="both"/>
              <w:rPr>
                <w:bCs/>
                <w:color w:val="FF0000"/>
                <w:sz w:val="24"/>
                <w:szCs w:val="24"/>
              </w:rPr>
            </w:pPr>
            <w:r w:rsidRPr="00ED7263">
              <w:rPr>
                <w:iCs/>
                <w:sz w:val="24"/>
                <w:szCs w:val="24"/>
              </w:rPr>
              <w:t>Крім цього, в рамках візиту делегація Представництва ООН в Україні взяла участь у регіональному семінарі «Місцевий роз</w:t>
            </w:r>
            <w:r w:rsidR="001F7C07">
              <w:rPr>
                <w:iCs/>
                <w:sz w:val="24"/>
                <w:szCs w:val="24"/>
              </w:rPr>
              <w:t>виток, орієнтований на громаду»</w:t>
            </w:r>
            <w:bookmarkStart w:id="0" w:name="_GoBack"/>
            <w:bookmarkEnd w:id="0"/>
            <w:r w:rsidRPr="00ED7263">
              <w:rPr>
                <w:iCs/>
                <w:sz w:val="24"/>
                <w:szCs w:val="24"/>
              </w:rPr>
              <w:t xml:space="preserve">. У семінарі взяли участь керівники обласної ради, облдержадміністрації, райдержадміністрацій та міських рад, а також представники засобів масової інформації, бізнес структур регіональних громадських організацій та вищих навчальних закладів </w:t>
            </w:r>
            <w:r w:rsidR="00B6086A" w:rsidRPr="00ED7263">
              <w:rPr>
                <w:iCs/>
                <w:sz w:val="24"/>
                <w:szCs w:val="24"/>
              </w:rPr>
              <w:t>області</w:t>
            </w:r>
            <w:r w:rsidRPr="00ED7263">
              <w:rPr>
                <w:iCs/>
                <w:sz w:val="24"/>
                <w:szCs w:val="24"/>
              </w:rPr>
              <w:t>.</w:t>
            </w: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120" w:line="228" w:lineRule="auto"/>
              <w:ind w:left="-57" w:right="-113"/>
              <w:rPr>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120" w:line="228" w:lineRule="auto"/>
              <w:ind w:left="-57" w:right="-113"/>
              <w:outlineLvl w:val="0"/>
              <w:rPr>
                <w:b/>
                <w:sz w:val="24"/>
                <w:szCs w:val="24"/>
              </w:rPr>
            </w:pP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433F65">
            <w:pPr>
              <w:widowControl w:val="0"/>
              <w:spacing w:before="120" w:line="228" w:lineRule="auto"/>
              <w:ind w:left="-57"/>
              <w:jc w:val="both"/>
              <w:outlineLvl w:val="0"/>
              <w:rPr>
                <w:b/>
                <w:sz w:val="24"/>
                <w:szCs w:val="24"/>
              </w:rPr>
            </w:pPr>
            <w:r w:rsidRPr="00ED7263">
              <w:rPr>
                <w:b/>
                <w:sz w:val="24"/>
                <w:szCs w:val="24"/>
              </w:rPr>
              <w:t>Інституційні, загальні та прикінцеві положення</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EF73A8">
            <w:pPr>
              <w:widowControl w:val="0"/>
              <w:spacing w:before="120" w:line="228" w:lineRule="auto"/>
              <w:ind w:left="-57" w:right="-113"/>
              <w:rPr>
                <w:b/>
                <w:iCs/>
                <w:sz w:val="24"/>
                <w:szCs w:val="24"/>
              </w:rPr>
            </w:pPr>
          </w:p>
        </w:tc>
        <w:tc>
          <w:tcPr>
            <w:tcW w:w="2670" w:type="pct"/>
            <w:tcBorders>
              <w:top w:val="single" w:sz="4" w:space="0" w:color="auto"/>
              <w:left w:val="single" w:sz="4" w:space="0" w:color="auto"/>
              <w:bottom w:val="single" w:sz="4" w:space="0" w:color="auto"/>
              <w:right w:val="single" w:sz="4" w:space="0" w:color="auto"/>
            </w:tcBorders>
          </w:tcPr>
          <w:p w:rsidR="005118E7" w:rsidRPr="00ED7263" w:rsidRDefault="005118E7" w:rsidP="003F20AC">
            <w:pPr>
              <w:widowControl w:val="0"/>
              <w:spacing w:before="120" w:line="228" w:lineRule="auto"/>
              <w:ind w:left="-57" w:right="-113"/>
              <w:jc w:val="both"/>
              <w:rPr>
                <w:b/>
                <w:iCs/>
                <w:sz w:val="24"/>
                <w:szCs w:val="24"/>
              </w:rPr>
            </w:pPr>
          </w:p>
        </w:tc>
      </w:tr>
      <w:tr w:rsidR="005118E7" w:rsidRPr="00ED7263" w:rsidTr="00ED7263">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numPr>
                <w:ilvl w:val="0"/>
                <w:numId w:val="1"/>
              </w:numPr>
              <w:spacing w:before="120" w:line="228" w:lineRule="auto"/>
              <w:ind w:left="-57" w:right="-113" w:firstLine="0"/>
              <w:rPr>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ED7263" w:rsidRDefault="005118E7" w:rsidP="007F3178">
            <w:pPr>
              <w:widowControl w:val="0"/>
              <w:spacing w:before="120" w:line="228" w:lineRule="auto"/>
              <w:ind w:left="-57" w:right="-113"/>
              <w:outlineLvl w:val="0"/>
              <w:rPr>
                <w:sz w:val="24"/>
                <w:szCs w:val="24"/>
              </w:rPr>
            </w:pPr>
            <w:r w:rsidRPr="00ED7263">
              <w:rPr>
                <w:sz w:val="24"/>
                <w:szCs w:val="24"/>
              </w:rPr>
              <w:t>Стаття 470</w:t>
            </w:r>
          </w:p>
        </w:tc>
        <w:tc>
          <w:tcPr>
            <w:tcW w:w="1448" w:type="pct"/>
            <w:tcBorders>
              <w:top w:val="single" w:sz="4" w:space="0" w:color="auto"/>
              <w:left w:val="single" w:sz="4" w:space="0" w:color="auto"/>
              <w:bottom w:val="single" w:sz="4" w:space="0" w:color="auto"/>
              <w:right w:val="single" w:sz="4" w:space="0" w:color="auto"/>
            </w:tcBorders>
          </w:tcPr>
          <w:p w:rsidR="005118E7" w:rsidRPr="00ED7263" w:rsidRDefault="005118E7" w:rsidP="00625981">
            <w:pPr>
              <w:widowControl w:val="0"/>
              <w:spacing w:before="120" w:line="228" w:lineRule="auto"/>
              <w:ind w:left="-57"/>
              <w:jc w:val="both"/>
              <w:outlineLvl w:val="0"/>
              <w:rPr>
                <w:sz w:val="24"/>
                <w:szCs w:val="24"/>
              </w:rPr>
            </w:pPr>
            <w:r w:rsidRPr="00ED7263">
              <w:rPr>
                <w:sz w:val="24"/>
                <w:szCs w:val="24"/>
              </w:rPr>
              <w:t xml:space="preserve">Забезпечення доступу громадськості та засобів масової інформації до актуальної інформації з питань імплементації Угоди про асоціацію шляхом запровадження, ведення та </w:t>
            </w:r>
            <w:r w:rsidRPr="00ED7263">
              <w:rPr>
                <w:sz w:val="24"/>
                <w:szCs w:val="24"/>
              </w:rPr>
              <w:lastRenderedPageBreak/>
              <w:t>систематичного оновлення відповідних розділів на офіційних сайтах центральних та місцевих органів виконавчої влади, інших державних органів, залучених до формування та реалізації державної політики європейської інтеграції; створення спеціального інтернет-порталу із залученням технічної допомоги в рамках Програми Всеохоплюючої інституційної розбудови (С</w:t>
            </w:r>
            <w:r w:rsidRPr="00ED7263">
              <w:rPr>
                <w:sz w:val="24"/>
                <w:szCs w:val="24"/>
                <w:lang w:val="en-US"/>
              </w:rPr>
              <w:t>I</w:t>
            </w:r>
            <w:r w:rsidRPr="00ED7263">
              <w:rPr>
                <w:sz w:val="24"/>
                <w:szCs w:val="24"/>
              </w:rPr>
              <w:t>В)</w:t>
            </w:r>
          </w:p>
        </w:tc>
        <w:tc>
          <w:tcPr>
            <w:tcW w:w="408" w:type="pct"/>
            <w:tcBorders>
              <w:top w:val="single" w:sz="4" w:space="0" w:color="auto"/>
              <w:left w:val="single" w:sz="4" w:space="0" w:color="auto"/>
              <w:bottom w:val="single" w:sz="4" w:space="0" w:color="auto"/>
              <w:right w:val="single" w:sz="4" w:space="0" w:color="auto"/>
            </w:tcBorders>
          </w:tcPr>
          <w:p w:rsidR="005118E7" w:rsidRPr="00ED7263" w:rsidRDefault="005118E7" w:rsidP="001A61BD">
            <w:pPr>
              <w:widowControl w:val="0"/>
              <w:spacing w:before="120" w:line="228" w:lineRule="auto"/>
              <w:ind w:left="-57" w:right="-113"/>
              <w:jc w:val="center"/>
              <w:rPr>
                <w:iCs/>
                <w:sz w:val="24"/>
                <w:szCs w:val="24"/>
              </w:rPr>
            </w:pPr>
            <w:r w:rsidRPr="00ED7263">
              <w:rPr>
                <w:iCs/>
                <w:sz w:val="24"/>
                <w:szCs w:val="24"/>
              </w:rPr>
              <w:lastRenderedPageBreak/>
              <w:t>постійно</w:t>
            </w:r>
          </w:p>
        </w:tc>
        <w:tc>
          <w:tcPr>
            <w:tcW w:w="2670" w:type="pct"/>
            <w:tcBorders>
              <w:top w:val="single" w:sz="4" w:space="0" w:color="auto"/>
              <w:left w:val="single" w:sz="4" w:space="0" w:color="auto"/>
              <w:bottom w:val="single" w:sz="4" w:space="0" w:color="auto"/>
              <w:right w:val="single" w:sz="4" w:space="0" w:color="auto"/>
            </w:tcBorders>
          </w:tcPr>
          <w:p w:rsidR="00B30AC7" w:rsidRPr="00ED7263" w:rsidRDefault="001A61BD" w:rsidP="003F20AC">
            <w:pPr>
              <w:widowControl w:val="0"/>
              <w:spacing w:before="120" w:line="228" w:lineRule="auto"/>
              <w:ind w:left="-57" w:right="-113"/>
              <w:jc w:val="both"/>
              <w:rPr>
                <w:iCs/>
                <w:sz w:val="24"/>
                <w:szCs w:val="24"/>
              </w:rPr>
            </w:pPr>
            <w:r w:rsidRPr="00ED7263">
              <w:rPr>
                <w:iCs/>
                <w:sz w:val="24"/>
                <w:szCs w:val="24"/>
              </w:rPr>
              <w:t>Триває.</w:t>
            </w:r>
          </w:p>
          <w:p w:rsidR="004A2275" w:rsidRPr="00ED7263" w:rsidRDefault="004A2275" w:rsidP="004A2275">
            <w:pPr>
              <w:widowControl w:val="0"/>
              <w:spacing w:before="120" w:line="228" w:lineRule="auto"/>
              <w:ind w:left="-57" w:right="-113"/>
              <w:jc w:val="both"/>
              <w:rPr>
                <w:iCs/>
                <w:sz w:val="24"/>
                <w:szCs w:val="24"/>
              </w:rPr>
            </w:pPr>
            <w:r w:rsidRPr="00ED7263">
              <w:rPr>
                <w:iCs/>
                <w:sz w:val="24"/>
                <w:szCs w:val="24"/>
              </w:rPr>
              <w:t xml:space="preserve">Національну палітру громадських організацій і центрів широко висвітлюють засоби мас-медіа. Місцева преса області постійно знайомить читачів з культурною спадщиною етносів регіону, створює чітке уявлення про </w:t>
            </w:r>
            <w:r w:rsidRPr="00ED7263">
              <w:rPr>
                <w:iCs/>
                <w:sz w:val="24"/>
                <w:szCs w:val="24"/>
              </w:rPr>
              <w:lastRenderedPageBreak/>
              <w:t xml:space="preserve">основні заходи та напрями їх діяльності. </w:t>
            </w:r>
          </w:p>
          <w:p w:rsidR="004A2275" w:rsidRPr="00ED7263" w:rsidRDefault="004A2275" w:rsidP="004A2275">
            <w:pPr>
              <w:widowControl w:val="0"/>
              <w:spacing w:before="120" w:line="228" w:lineRule="auto"/>
              <w:ind w:left="-57" w:right="-113"/>
              <w:jc w:val="both"/>
              <w:rPr>
                <w:iCs/>
                <w:sz w:val="24"/>
                <w:szCs w:val="24"/>
              </w:rPr>
            </w:pPr>
            <w:r w:rsidRPr="00ED7263">
              <w:rPr>
                <w:iCs/>
                <w:sz w:val="24"/>
                <w:szCs w:val="24"/>
              </w:rPr>
              <w:t xml:space="preserve">5 друкованих видань (3 грецьких, 1 єврейське, 1 польське) загальним накладом  понад 40 тис. примірників широко висвітлюють ділову, культурну, просвітницьку та духовну діяльність своїх об’єднань. Тема національного і духовного відродження народів, що проживають в області, популяризація їхньої культури і життєдіяльності постійно на екранах і в ефірі обласних і місцевих телерадіокомпаній. </w:t>
            </w:r>
          </w:p>
          <w:p w:rsidR="004A2275" w:rsidRPr="00ED7263" w:rsidRDefault="004A2275" w:rsidP="004A2275">
            <w:pPr>
              <w:widowControl w:val="0"/>
              <w:spacing w:before="120" w:line="228" w:lineRule="auto"/>
              <w:ind w:left="-57" w:right="-113"/>
              <w:jc w:val="both"/>
              <w:rPr>
                <w:iCs/>
                <w:sz w:val="24"/>
                <w:szCs w:val="24"/>
              </w:rPr>
            </w:pPr>
            <w:r w:rsidRPr="00ED7263">
              <w:rPr>
                <w:iCs/>
                <w:sz w:val="24"/>
                <w:szCs w:val="24"/>
              </w:rPr>
              <w:t xml:space="preserve">В інформаційному просторі регіону акцент робиться на поширення через електронні засоби масової інформації різножанрових матеріалів державною мовою, в яких висвітлюються значення розвитку духовності, гуманізму, рівень високої культури між людьми незалежно від національної приналежності, повагу до історії та культури свого народу. </w:t>
            </w:r>
          </w:p>
          <w:p w:rsidR="005118E7" w:rsidRPr="00ED7263" w:rsidRDefault="004A2275" w:rsidP="00ED7263">
            <w:pPr>
              <w:widowControl w:val="0"/>
              <w:spacing w:before="120" w:line="228" w:lineRule="auto"/>
              <w:ind w:left="-57" w:right="-113"/>
              <w:jc w:val="both"/>
              <w:rPr>
                <w:iCs/>
                <w:sz w:val="24"/>
                <w:szCs w:val="24"/>
              </w:rPr>
            </w:pPr>
            <w:r w:rsidRPr="00ED7263">
              <w:rPr>
                <w:iCs/>
                <w:sz w:val="24"/>
                <w:szCs w:val="24"/>
              </w:rPr>
              <w:t xml:space="preserve">На сервері Донецької облдержадміністрації працює веб-сайт з висвітлення життєдіяльності етнічних спільнот регіону, який щотижня поповнюється новими матеріалами. Самостійні портали у системі Інтернету мають:  Федерація грецьких товариств України, товариство польської культури Донбасу, громадська організація «Русский Дом в Донецкой области», Донецька обласна єврейська громада, Донецька обласна громадська організація «Конгрес азербайджанців», Донецька обласна громадська організація «Товариство польської культури «Полонія» та Донецька обласна громадська організація «Культурно - просвітницьке товариство білорусів «Неман». </w:t>
            </w:r>
          </w:p>
        </w:tc>
      </w:tr>
    </w:tbl>
    <w:p w:rsidR="00E5636B" w:rsidRPr="00ED7263" w:rsidRDefault="00E5636B" w:rsidP="00844CA1">
      <w:pPr>
        <w:pStyle w:val="3"/>
        <w:spacing w:before="0"/>
        <w:ind w:left="0"/>
        <w:jc w:val="center"/>
        <w:rPr>
          <w:b w:val="0"/>
          <w:i w:val="0"/>
          <w:sz w:val="24"/>
          <w:szCs w:val="24"/>
        </w:rPr>
      </w:pPr>
    </w:p>
    <w:p w:rsidR="00DC64C3" w:rsidRPr="00ED7263" w:rsidRDefault="00DC64C3" w:rsidP="00844CA1">
      <w:pPr>
        <w:rPr>
          <w:sz w:val="24"/>
          <w:szCs w:val="24"/>
        </w:rPr>
      </w:pPr>
    </w:p>
    <w:sectPr w:rsidR="00DC64C3" w:rsidRPr="00ED7263" w:rsidSect="00760F1B">
      <w:headerReference w:type="even" r:id="rId7"/>
      <w:headerReference w:type="default" r:id="rId8"/>
      <w:footnotePr>
        <w:numFmt w:val="chicago"/>
      </w:footnotePr>
      <w:pgSz w:w="16838" w:h="11906" w:orient="landscape" w:code="9"/>
      <w:pgMar w:top="426" w:right="395" w:bottom="28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58" w:rsidRDefault="00DC3F58">
      <w:r>
        <w:separator/>
      </w:r>
    </w:p>
  </w:endnote>
  <w:endnote w:type="continuationSeparator" w:id="0">
    <w:p w:rsidR="00DC3F58" w:rsidRDefault="00DC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auto"/>
    <w:pitch w:val="variable"/>
    <w:sig w:usb0="000002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58" w:rsidRDefault="00DC3F58">
      <w:r>
        <w:separator/>
      </w:r>
    </w:p>
  </w:footnote>
  <w:footnote w:type="continuationSeparator" w:id="0">
    <w:p w:rsidR="00DC3F58" w:rsidRDefault="00DC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framePr w:wrap="around" w:vAnchor="text" w:hAnchor="margin" w:xAlign="center" w:y="1"/>
    </w:pPr>
    <w:r>
      <w:fldChar w:fldCharType="begin"/>
    </w:r>
    <w:r>
      <w:instrText xml:space="preserve">PAGE  </w:instrText>
    </w:r>
    <w:r>
      <w:fldChar w:fldCharType="separate"/>
    </w:r>
    <w:r>
      <w:rPr>
        <w:noProof/>
      </w:rPr>
      <w:t>1</w:t>
    </w:r>
    <w:r>
      <w:fldChar w:fldCharType="end"/>
    </w:r>
  </w:p>
  <w:p w:rsidR="00013ABC" w:rsidRDefault="00013A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framePr w:wrap="around" w:vAnchor="text" w:hAnchor="margin" w:xAlign="center" w:y="1"/>
    </w:pPr>
    <w:r>
      <w:fldChar w:fldCharType="begin"/>
    </w:r>
    <w:r>
      <w:instrText xml:space="preserve">PAGE  </w:instrText>
    </w:r>
    <w:r>
      <w:fldChar w:fldCharType="separate"/>
    </w:r>
    <w:r w:rsidR="001F7C07">
      <w:rPr>
        <w:noProof/>
      </w:rPr>
      <w:t>6</w:t>
    </w:r>
    <w:r>
      <w:fldChar w:fldCharType="end"/>
    </w:r>
  </w:p>
  <w:p w:rsidR="00013ABC" w:rsidRDefault="00013A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8350E75"/>
    <w:multiLevelType w:val="hybridMultilevel"/>
    <w:tmpl w:val="68DE686C"/>
    <w:lvl w:ilvl="0" w:tplc="827C35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90B6C"/>
    <w:multiLevelType w:val="hybridMultilevel"/>
    <w:tmpl w:val="A936E638"/>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0F2B1BD4"/>
    <w:multiLevelType w:val="hybridMultilevel"/>
    <w:tmpl w:val="7094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27942"/>
    <w:multiLevelType w:val="hybridMultilevel"/>
    <w:tmpl w:val="B402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25EB5"/>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1B3B49CA"/>
    <w:multiLevelType w:val="hybridMultilevel"/>
    <w:tmpl w:val="3BF0E754"/>
    <w:lvl w:ilvl="0" w:tplc="0422000F">
      <w:start w:val="1"/>
      <w:numFmt w:val="decimal"/>
      <w:lvlText w:val="%1."/>
      <w:lvlJc w:val="left"/>
      <w:pPr>
        <w:tabs>
          <w:tab w:val="num" w:pos="540"/>
        </w:tabs>
        <w:ind w:left="540" w:hanging="360"/>
      </w:pPr>
    </w:lvl>
    <w:lvl w:ilvl="1" w:tplc="C276B8F8">
      <w:start w:val="2015"/>
      <w:numFmt w:val="bullet"/>
      <w:lvlText w:val="-"/>
      <w:lvlJc w:val="left"/>
      <w:pPr>
        <w:tabs>
          <w:tab w:val="num" w:pos="1260"/>
        </w:tabs>
        <w:ind w:left="1260" w:hanging="360"/>
      </w:pPr>
      <w:rPr>
        <w:rFonts w:ascii="Times New Roman" w:eastAsia="Times New Roman" w:hAnsi="Times New Roman" w:cs="Times New Roman" w:hint="default"/>
      </w:r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7" w15:restartNumberingAfterBreak="0">
    <w:nsid w:val="1C4B2E2B"/>
    <w:multiLevelType w:val="multilevel"/>
    <w:tmpl w:val="EBB65B3E"/>
    <w:lvl w:ilvl="0">
      <w:start w:val="1"/>
      <w:numFmt w:val="decimal"/>
      <w:lvlText w:val="%1"/>
      <w:lvlJc w:val="left"/>
      <w:pPr>
        <w:tabs>
          <w:tab w:val="num" w:pos="630"/>
        </w:tabs>
        <w:ind w:left="630" w:hanging="510"/>
      </w:pPr>
      <w:rPr>
        <w:rFonts w:cs="Times New Roman" w:hint="default"/>
        <w:b w:val="0"/>
        <w:sz w:val="24"/>
        <w:szCs w:val="24"/>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797" w:hanging="720"/>
      </w:pPr>
      <w:rPr>
        <w:rFonts w:cs="Times New Roman" w:hint="default"/>
      </w:rPr>
    </w:lvl>
    <w:lvl w:ilvl="3">
      <w:start w:val="1"/>
      <w:numFmt w:val="decimal"/>
      <w:isLgl/>
      <w:lvlText w:val="%1.%2.%3.%4"/>
      <w:lvlJc w:val="left"/>
      <w:pPr>
        <w:ind w:left="2307" w:hanging="720"/>
      </w:pPr>
      <w:rPr>
        <w:rFonts w:cs="Times New Roman" w:hint="default"/>
      </w:rPr>
    </w:lvl>
    <w:lvl w:ilvl="4">
      <w:start w:val="1"/>
      <w:numFmt w:val="decimal"/>
      <w:isLgl/>
      <w:lvlText w:val="%1.%2.%3.%4.%5"/>
      <w:lvlJc w:val="left"/>
      <w:pPr>
        <w:ind w:left="3177" w:hanging="1080"/>
      </w:pPr>
      <w:rPr>
        <w:rFonts w:cs="Times New Roman" w:hint="default"/>
      </w:rPr>
    </w:lvl>
    <w:lvl w:ilvl="5">
      <w:start w:val="1"/>
      <w:numFmt w:val="decimal"/>
      <w:isLgl/>
      <w:lvlText w:val="%1.%2.%3.%4.%5.%6"/>
      <w:lvlJc w:val="left"/>
      <w:pPr>
        <w:ind w:left="3687" w:hanging="1080"/>
      </w:pPr>
      <w:rPr>
        <w:rFonts w:cs="Times New Roman" w:hint="default"/>
      </w:rPr>
    </w:lvl>
    <w:lvl w:ilvl="6">
      <w:start w:val="1"/>
      <w:numFmt w:val="decimal"/>
      <w:isLgl/>
      <w:lvlText w:val="%1.%2.%3.%4.%5.%6.%7"/>
      <w:lvlJc w:val="left"/>
      <w:pPr>
        <w:ind w:left="4557" w:hanging="1440"/>
      </w:pPr>
      <w:rPr>
        <w:rFonts w:cs="Times New Roman" w:hint="default"/>
      </w:rPr>
    </w:lvl>
    <w:lvl w:ilvl="7">
      <w:start w:val="1"/>
      <w:numFmt w:val="decimal"/>
      <w:isLgl/>
      <w:lvlText w:val="%1.%2.%3.%4.%5.%6.%7.%8"/>
      <w:lvlJc w:val="left"/>
      <w:pPr>
        <w:ind w:left="5067" w:hanging="1440"/>
      </w:pPr>
      <w:rPr>
        <w:rFonts w:cs="Times New Roman" w:hint="default"/>
      </w:rPr>
    </w:lvl>
    <w:lvl w:ilvl="8">
      <w:start w:val="1"/>
      <w:numFmt w:val="decimal"/>
      <w:isLgl/>
      <w:lvlText w:val="%1.%2.%3.%4.%5.%6.%7.%8.%9"/>
      <w:lvlJc w:val="left"/>
      <w:pPr>
        <w:ind w:left="5937" w:hanging="1800"/>
      </w:pPr>
      <w:rPr>
        <w:rFonts w:cs="Times New Roman" w:hint="default"/>
      </w:rPr>
    </w:lvl>
  </w:abstractNum>
  <w:abstractNum w:abstractNumId="8" w15:restartNumberingAfterBreak="0">
    <w:nsid w:val="20423B5D"/>
    <w:multiLevelType w:val="hybridMultilevel"/>
    <w:tmpl w:val="2C4A97F6"/>
    <w:lvl w:ilvl="0" w:tplc="00F4E49E">
      <w:start w:val="2015"/>
      <w:numFmt w:val="bullet"/>
      <w:lvlText w:val="—"/>
      <w:lvlJc w:val="left"/>
      <w:pPr>
        <w:ind w:left="303" w:hanging="360"/>
      </w:pPr>
      <w:rPr>
        <w:rFonts w:ascii="Antiqua" w:eastAsia="Times New Roman" w:hAnsi="Antiqua"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9" w15:restartNumberingAfterBreak="0">
    <w:nsid w:val="26107B2A"/>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98C08C6"/>
    <w:multiLevelType w:val="hybridMultilevel"/>
    <w:tmpl w:val="A3FEF880"/>
    <w:lvl w:ilvl="0" w:tplc="FFFFFFFF">
      <w:start w:val="1"/>
      <w:numFmt w:val="decimal"/>
      <w:lvlText w:val="%1."/>
      <w:lvlJc w:val="left"/>
      <w:pPr>
        <w:tabs>
          <w:tab w:val="num" w:pos="540"/>
        </w:tabs>
        <w:ind w:left="540" w:hanging="360"/>
      </w:pPr>
    </w:lvl>
    <w:lvl w:ilvl="1" w:tplc="FFFFFFFF">
      <w:start w:val="1"/>
      <w:numFmt w:val="bullet"/>
      <w:lvlText w:val=""/>
      <w:lvlJc w:val="left"/>
      <w:pPr>
        <w:tabs>
          <w:tab w:val="num" w:pos="1260"/>
        </w:tabs>
        <w:ind w:left="1260" w:hanging="360"/>
      </w:pPr>
      <w:rPr>
        <w:rFonts w:ascii="Wingdings" w:hAnsi="Wingding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2A1E6E86"/>
    <w:multiLevelType w:val="hybridMultilevel"/>
    <w:tmpl w:val="0F4055BC"/>
    <w:lvl w:ilvl="0" w:tplc="B4500C08">
      <w:start w:val="2017"/>
      <w:numFmt w:val="bullet"/>
      <w:pStyle w:val="ListNumberLevel2"/>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pStyle w:val="ListNumberLevel3"/>
      <w:lvlText w:val="o"/>
      <w:lvlJc w:val="left"/>
      <w:pPr>
        <w:tabs>
          <w:tab w:val="num" w:pos="1785"/>
        </w:tabs>
        <w:ind w:left="1785" w:hanging="360"/>
      </w:pPr>
      <w:rPr>
        <w:rFonts w:ascii="Courier New" w:hAnsi="Courier New" w:cs="Courier New" w:hint="default"/>
      </w:rPr>
    </w:lvl>
    <w:lvl w:ilvl="2" w:tplc="04220005" w:tentative="1">
      <w:start w:val="1"/>
      <w:numFmt w:val="bullet"/>
      <w:pStyle w:val="ListNumberLevel4"/>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FC67E2E"/>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B47BD0"/>
    <w:multiLevelType w:val="hybridMultilevel"/>
    <w:tmpl w:val="F2C2A400"/>
    <w:lvl w:ilvl="0" w:tplc="0422000F">
      <w:start w:val="1"/>
      <w:numFmt w:val="decimal"/>
      <w:lvlText w:val="%1."/>
      <w:lvlJc w:val="left"/>
      <w:pPr>
        <w:ind w:left="720" w:hanging="360"/>
      </w:pPr>
      <w:rPr>
        <w:rFonts w:hint="default"/>
      </w:rPr>
    </w:lvl>
    <w:lvl w:ilvl="1" w:tplc="04220005"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F01081"/>
    <w:multiLevelType w:val="hybridMultilevel"/>
    <w:tmpl w:val="AB9890F8"/>
    <w:lvl w:ilvl="0" w:tplc="0419000F">
      <w:start w:val="1"/>
      <w:numFmt w:val="decimal"/>
      <w:lvlText w:val="%1."/>
      <w:lvlJc w:val="left"/>
      <w:pPr>
        <w:tabs>
          <w:tab w:val="num" w:pos="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6C03D8"/>
    <w:multiLevelType w:val="hybridMultilevel"/>
    <w:tmpl w:val="ACF4ADC6"/>
    <w:lvl w:ilvl="0" w:tplc="C276B8F8">
      <w:start w:val="20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87A8F"/>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9EB71D5"/>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370480F"/>
    <w:multiLevelType w:val="hybridMultilevel"/>
    <w:tmpl w:val="7CD43A54"/>
    <w:lvl w:ilvl="0" w:tplc="05A0321A">
      <w:numFmt w:val="bullet"/>
      <w:lvlText w:val="-"/>
      <w:lvlJc w:val="left"/>
      <w:pPr>
        <w:ind w:left="303" w:hanging="360"/>
      </w:pPr>
      <w:rPr>
        <w:rFonts w:ascii="Antiqua" w:eastAsia="Times New Roman" w:hAnsi="Antiqua"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9" w15:restartNumberingAfterBreak="0">
    <w:nsid w:val="55060C68"/>
    <w:multiLevelType w:val="hybridMultilevel"/>
    <w:tmpl w:val="FB047A6A"/>
    <w:lvl w:ilvl="0" w:tplc="622229B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4249CB"/>
    <w:multiLevelType w:val="singleLevel"/>
    <w:tmpl w:val="3094F9DE"/>
    <w:lvl w:ilvl="0">
      <w:start w:val="1"/>
      <w:numFmt w:val="bullet"/>
      <w:lvlRestart w:val="0"/>
      <w:pStyle w:val="a"/>
      <w:lvlText w:val="–"/>
      <w:lvlJc w:val="left"/>
      <w:pPr>
        <w:tabs>
          <w:tab w:val="num" w:pos="1134"/>
        </w:tabs>
        <w:ind w:left="1134" w:hanging="283"/>
      </w:pPr>
      <w:rPr>
        <w:rFonts w:ascii="Times New Roman" w:hAnsi="Times New Roman"/>
      </w:rPr>
    </w:lvl>
  </w:abstractNum>
  <w:abstractNum w:abstractNumId="21" w15:restartNumberingAfterBreak="0">
    <w:nsid w:val="663C6A05"/>
    <w:multiLevelType w:val="multilevel"/>
    <w:tmpl w:val="A3FEF880"/>
    <w:lvl w:ilvl="0">
      <w:start w:val="1"/>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Wingdings" w:hAnsi="Wingding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C833E45"/>
    <w:multiLevelType w:val="hybridMultilevel"/>
    <w:tmpl w:val="C24C5CDC"/>
    <w:lvl w:ilvl="0" w:tplc="FFFFFFFF">
      <w:start w:val="1"/>
      <w:numFmt w:val="decimal"/>
      <w:lvlText w:val="%1."/>
      <w:lvlJc w:val="left"/>
      <w:pPr>
        <w:tabs>
          <w:tab w:val="num" w:pos="480"/>
        </w:tabs>
        <w:ind w:left="480" w:hanging="360"/>
      </w:pPr>
      <w:rPr>
        <w:rFonts w:cs="Times New Roman"/>
        <w:b w:val="0"/>
      </w:rPr>
    </w:lvl>
    <w:lvl w:ilvl="1" w:tplc="FFFFFFFF">
      <w:start w:val="1"/>
      <w:numFmt w:val="decimal"/>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3" w15:restartNumberingAfterBreak="0">
    <w:nsid w:val="6E9D3DB0"/>
    <w:multiLevelType w:val="hybridMultilevel"/>
    <w:tmpl w:val="48BA6436"/>
    <w:lvl w:ilvl="0" w:tplc="C77423F8">
      <w:numFmt w:val="bullet"/>
      <w:lvlText w:val="-"/>
      <w:lvlJc w:val="left"/>
      <w:pPr>
        <w:ind w:left="303" w:hanging="360"/>
      </w:pPr>
      <w:rPr>
        <w:rFonts w:ascii="Antiqua" w:eastAsia="Times New Roman" w:hAnsi="Antiqua"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24" w15:restartNumberingAfterBreak="0">
    <w:nsid w:val="75731A86"/>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7767072D"/>
    <w:multiLevelType w:val="hybridMultilevel"/>
    <w:tmpl w:val="E2D8FFE0"/>
    <w:lvl w:ilvl="0" w:tplc="C276B8F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ADF0507"/>
    <w:multiLevelType w:val="hybridMultilevel"/>
    <w:tmpl w:val="3DB81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4"/>
  </w:num>
  <w:num w:numId="5">
    <w:abstractNumId w:val="1"/>
  </w:num>
  <w:num w:numId="6">
    <w:abstractNumId w:val="19"/>
  </w:num>
  <w:num w:numId="7">
    <w:abstractNumId w:val="14"/>
  </w:num>
  <w:num w:numId="8">
    <w:abstractNumId w:val="22"/>
  </w:num>
  <w:num w:numId="9">
    <w:abstractNumId w:val="13"/>
  </w:num>
  <w:num w:numId="10">
    <w:abstractNumId w:val="10"/>
  </w:num>
  <w:num w:numId="11">
    <w:abstractNumId w:val="21"/>
  </w:num>
  <w:num w:numId="12">
    <w:abstractNumId w:val="6"/>
  </w:num>
  <w:num w:numId="13">
    <w:abstractNumId w:val="20"/>
  </w:num>
  <w:num w:numId="14">
    <w:abstractNumId w:val="11"/>
  </w:num>
  <w:num w:numId="15">
    <w:abstractNumId w:val="0"/>
  </w:num>
  <w:num w:numId="16">
    <w:abstractNumId w:val="15"/>
  </w:num>
  <w:num w:numId="17">
    <w:abstractNumId w:val="5"/>
  </w:num>
  <w:num w:numId="18">
    <w:abstractNumId w:val="25"/>
  </w:num>
  <w:num w:numId="19">
    <w:abstractNumId w:val="26"/>
  </w:num>
  <w:num w:numId="20">
    <w:abstractNumId w:val="24"/>
  </w:num>
  <w:num w:numId="21">
    <w:abstractNumId w:val="12"/>
  </w:num>
  <w:num w:numId="22">
    <w:abstractNumId w:val="17"/>
  </w:num>
  <w:num w:numId="23">
    <w:abstractNumId w:val="9"/>
  </w:num>
  <w:num w:numId="24">
    <w:abstractNumId w:val="23"/>
  </w:num>
  <w:num w:numId="25">
    <w:abstractNumId w:val="18"/>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000C29"/>
    <w:rsid w:val="00002018"/>
    <w:rsid w:val="000047AE"/>
    <w:rsid w:val="00013ABC"/>
    <w:rsid w:val="00025D8F"/>
    <w:rsid w:val="00033E3B"/>
    <w:rsid w:val="00036540"/>
    <w:rsid w:val="00057A15"/>
    <w:rsid w:val="00072826"/>
    <w:rsid w:val="00085856"/>
    <w:rsid w:val="00085CE8"/>
    <w:rsid w:val="00096513"/>
    <w:rsid w:val="000A6E0B"/>
    <w:rsid w:val="000B1774"/>
    <w:rsid w:val="001063B4"/>
    <w:rsid w:val="00116203"/>
    <w:rsid w:val="00127C2C"/>
    <w:rsid w:val="001313BD"/>
    <w:rsid w:val="00143F36"/>
    <w:rsid w:val="00147DCE"/>
    <w:rsid w:val="0017209B"/>
    <w:rsid w:val="00173338"/>
    <w:rsid w:val="00183B37"/>
    <w:rsid w:val="001945D3"/>
    <w:rsid w:val="001946B8"/>
    <w:rsid w:val="00197A5B"/>
    <w:rsid w:val="001A5FC5"/>
    <w:rsid w:val="001A5FFC"/>
    <w:rsid w:val="001A61BD"/>
    <w:rsid w:val="001A6DF8"/>
    <w:rsid w:val="001B0593"/>
    <w:rsid w:val="001B1754"/>
    <w:rsid w:val="001B19DC"/>
    <w:rsid w:val="001C7DF7"/>
    <w:rsid w:val="001E19AB"/>
    <w:rsid w:val="001F0C52"/>
    <w:rsid w:val="001F38EA"/>
    <w:rsid w:val="001F44E6"/>
    <w:rsid w:val="001F7C07"/>
    <w:rsid w:val="00210F96"/>
    <w:rsid w:val="00214AAD"/>
    <w:rsid w:val="002154C7"/>
    <w:rsid w:val="002157B0"/>
    <w:rsid w:val="00241C9D"/>
    <w:rsid w:val="00242F85"/>
    <w:rsid w:val="00245648"/>
    <w:rsid w:val="00246D60"/>
    <w:rsid w:val="0025704D"/>
    <w:rsid w:val="002712CE"/>
    <w:rsid w:val="002850ED"/>
    <w:rsid w:val="002A3376"/>
    <w:rsid w:val="002A3658"/>
    <w:rsid w:val="002B7CF2"/>
    <w:rsid w:val="002D47F3"/>
    <w:rsid w:val="002D6752"/>
    <w:rsid w:val="002E17AD"/>
    <w:rsid w:val="002E6CE1"/>
    <w:rsid w:val="00301F83"/>
    <w:rsid w:val="00314477"/>
    <w:rsid w:val="0033065D"/>
    <w:rsid w:val="00331BF2"/>
    <w:rsid w:val="00335163"/>
    <w:rsid w:val="003420B8"/>
    <w:rsid w:val="00351040"/>
    <w:rsid w:val="00360AE2"/>
    <w:rsid w:val="00361779"/>
    <w:rsid w:val="00372DE2"/>
    <w:rsid w:val="003A2DF5"/>
    <w:rsid w:val="003C4B52"/>
    <w:rsid w:val="003D19AE"/>
    <w:rsid w:val="003D62E9"/>
    <w:rsid w:val="003E41A9"/>
    <w:rsid w:val="003F1BCF"/>
    <w:rsid w:val="003F20AC"/>
    <w:rsid w:val="00407401"/>
    <w:rsid w:val="00413EB7"/>
    <w:rsid w:val="00420E66"/>
    <w:rsid w:val="00423E81"/>
    <w:rsid w:val="00433F65"/>
    <w:rsid w:val="00451272"/>
    <w:rsid w:val="004543C0"/>
    <w:rsid w:val="0045544C"/>
    <w:rsid w:val="00456844"/>
    <w:rsid w:val="00495E36"/>
    <w:rsid w:val="004A2275"/>
    <w:rsid w:val="004F02D9"/>
    <w:rsid w:val="004F2CD9"/>
    <w:rsid w:val="004F36CF"/>
    <w:rsid w:val="0050224A"/>
    <w:rsid w:val="005118E7"/>
    <w:rsid w:val="00513D40"/>
    <w:rsid w:val="005372A0"/>
    <w:rsid w:val="00544907"/>
    <w:rsid w:val="0057581D"/>
    <w:rsid w:val="005758A2"/>
    <w:rsid w:val="0058152D"/>
    <w:rsid w:val="005A268C"/>
    <w:rsid w:val="005B5528"/>
    <w:rsid w:val="005B6AC8"/>
    <w:rsid w:val="005B72B9"/>
    <w:rsid w:val="005C1142"/>
    <w:rsid w:val="005C20FE"/>
    <w:rsid w:val="005C56B4"/>
    <w:rsid w:val="005D0500"/>
    <w:rsid w:val="005D1312"/>
    <w:rsid w:val="005E156F"/>
    <w:rsid w:val="005F0A5B"/>
    <w:rsid w:val="005F41DF"/>
    <w:rsid w:val="0060591C"/>
    <w:rsid w:val="00611C83"/>
    <w:rsid w:val="00615EA4"/>
    <w:rsid w:val="00625981"/>
    <w:rsid w:val="006750C9"/>
    <w:rsid w:val="00675A12"/>
    <w:rsid w:val="00687C49"/>
    <w:rsid w:val="00694F75"/>
    <w:rsid w:val="00695685"/>
    <w:rsid w:val="00696215"/>
    <w:rsid w:val="006A0C9F"/>
    <w:rsid w:val="006C314E"/>
    <w:rsid w:val="006D18B2"/>
    <w:rsid w:val="006D18D5"/>
    <w:rsid w:val="00714C45"/>
    <w:rsid w:val="007447B1"/>
    <w:rsid w:val="0075586B"/>
    <w:rsid w:val="00756C67"/>
    <w:rsid w:val="00760F1B"/>
    <w:rsid w:val="007631B1"/>
    <w:rsid w:val="00764BBD"/>
    <w:rsid w:val="00773EF0"/>
    <w:rsid w:val="00793B77"/>
    <w:rsid w:val="0079564B"/>
    <w:rsid w:val="007A4F43"/>
    <w:rsid w:val="007A7477"/>
    <w:rsid w:val="007B3775"/>
    <w:rsid w:val="007C6A83"/>
    <w:rsid w:val="007C6DF0"/>
    <w:rsid w:val="007D1945"/>
    <w:rsid w:val="007F0DBF"/>
    <w:rsid w:val="007F1468"/>
    <w:rsid w:val="007F1582"/>
    <w:rsid w:val="007F2424"/>
    <w:rsid w:val="007F3178"/>
    <w:rsid w:val="00815CCE"/>
    <w:rsid w:val="00826D30"/>
    <w:rsid w:val="008318BB"/>
    <w:rsid w:val="00836DF6"/>
    <w:rsid w:val="00844CA1"/>
    <w:rsid w:val="00852591"/>
    <w:rsid w:val="00857448"/>
    <w:rsid w:val="008659B2"/>
    <w:rsid w:val="008841A3"/>
    <w:rsid w:val="008A2A63"/>
    <w:rsid w:val="008C16F4"/>
    <w:rsid w:val="008C306C"/>
    <w:rsid w:val="008D2CEA"/>
    <w:rsid w:val="008E1866"/>
    <w:rsid w:val="008F6254"/>
    <w:rsid w:val="009052EE"/>
    <w:rsid w:val="00917030"/>
    <w:rsid w:val="009320D1"/>
    <w:rsid w:val="00937653"/>
    <w:rsid w:val="009455E9"/>
    <w:rsid w:val="009515D5"/>
    <w:rsid w:val="009668C1"/>
    <w:rsid w:val="00974374"/>
    <w:rsid w:val="0097611F"/>
    <w:rsid w:val="0097658B"/>
    <w:rsid w:val="00987AC3"/>
    <w:rsid w:val="009A48C3"/>
    <w:rsid w:val="009B171F"/>
    <w:rsid w:val="009B6869"/>
    <w:rsid w:val="009C64F3"/>
    <w:rsid w:val="009D0B38"/>
    <w:rsid w:val="009E4E65"/>
    <w:rsid w:val="009F040A"/>
    <w:rsid w:val="00A00AD9"/>
    <w:rsid w:val="00A06B57"/>
    <w:rsid w:val="00A1311C"/>
    <w:rsid w:val="00A1719E"/>
    <w:rsid w:val="00A338E9"/>
    <w:rsid w:val="00A378D9"/>
    <w:rsid w:val="00A4052D"/>
    <w:rsid w:val="00A47990"/>
    <w:rsid w:val="00A52123"/>
    <w:rsid w:val="00A800B4"/>
    <w:rsid w:val="00A8032F"/>
    <w:rsid w:val="00AA4388"/>
    <w:rsid w:val="00AB6F66"/>
    <w:rsid w:val="00AB7EF3"/>
    <w:rsid w:val="00AC5792"/>
    <w:rsid w:val="00AD67D9"/>
    <w:rsid w:val="00B04119"/>
    <w:rsid w:val="00B11914"/>
    <w:rsid w:val="00B23E97"/>
    <w:rsid w:val="00B25B3E"/>
    <w:rsid w:val="00B30AC7"/>
    <w:rsid w:val="00B3457A"/>
    <w:rsid w:val="00B6086A"/>
    <w:rsid w:val="00BB59EB"/>
    <w:rsid w:val="00BC0B7C"/>
    <w:rsid w:val="00BC2B8F"/>
    <w:rsid w:val="00BC3060"/>
    <w:rsid w:val="00BD19E6"/>
    <w:rsid w:val="00BE0FDA"/>
    <w:rsid w:val="00C035A7"/>
    <w:rsid w:val="00C03E1E"/>
    <w:rsid w:val="00C23ACE"/>
    <w:rsid w:val="00C3547D"/>
    <w:rsid w:val="00C433B8"/>
    <w:rsid w:val="00C669A2"/>
    <w:rsid w:val="00C82919"/>
    <w:rsid w:val="00C8419A"/>
    <w:rsid w:val="00CA156E"/>
    <w:rsid w:val="00CA6B8C"/>
    <w:rsid w:val="00CC6810"/>
    <w:rsid w:val="00CD1548"/>
    <w:rsid w:val="00CE4130"/>
    <w:rsid w:val="00CF2EDB"/>
    <w:rsid w:val="00CF74B5"/>
    <w:rsid w:val="00D22ED4"/>
    <w:rsid w:val="00D31492"/>
    <w:rsid w:val="00D36831"/>
    <w:rsid w:val="00D64EBF"/>
    <w:rsid w:val="00D759EC"/>
    <w:rsid w:val="00D84060"/>
    <w:rsid w:val="00D87F49"/>
    <w:rsid w:val="00DA0D94"/>
    <w:rsid w:val="00DA145F"/>
    <w:rsid w:val="00DB3D1F"/>
    <w:rsid w:val="00DC3F58"/>
    <w:rsid w:val="00DC64C3"/>
    <w:rsid w:val="00E02032"/>
    <w:rsid w:val="00E0729D"/>
    <w:rsid w:val="00E22BD9"/>
    <w:rsid w:val="00E2428D"/>
    <w:rsid w:val="00E27A54"/>
    <w:rsid w:val="00E35A52"/>
    <w:rsid w:val="00E36A72"/>
    <w:rsid w:val="00E40748"/>
    <w:rsid w:val="00E40988"/>
    <w:rsid w:val="00E46FCA"/>
    <w:rsid w:val="00E51F72"/>
    <w:rsid w:val="00E5636B"/>
    <w:rsid w:val="00E56D9E"/>
    <w:rsid w:val="00E82F6D"/>
    <w:rsid w:val="00EC2039"/>
    <w:rsid w:val="00EC30D0"/>
    <w:rsid w:val="00ED23EA"/>
    <w:rsid w:val="00ED7263"/>
    <w:rsid w:val="00EE68B1"/>
    <w:rsid w:val="00EF73A8"/>
    <w:rsid w:val="00F14A49"/>
    <w:rsid w:val="00F15138"/>
    <w:rsid w:val="00F15EA4"/>
    <w:rsid w:val="00F248EF"/>
    <w:rsid w:val="00F361F7"/>
    <w:rsid w:val="00F400D0"/>
    <w:rsid w:val="00F43C15"/>
    <w:rsid w:val="00F502DB"/>
    <w:rsid w:val="00F60540"/>
    <w:rsid w:val="00F62E36"/>
    <w:rsid w:val="00FB2112"/>
    <w:rsid w:val="00FC2B92"/>
    <w:rsid w:val="00FC41E6"/>
    <w:rsid w:val="00FC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239B4"/>
  <w15:chartTrackingRefBased/>
  <w15:docId w15:val="{2659893E-2057-4CA8-81B8-923302E6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Звичайний"/>
    <w:qFormat/>
    <w:rsid w:val="002D6752"/>
    <w:rPr>
      <w:rFonts w:ascii="Antiqua" w:hAnsi="Antiqua"/>
      <w:sz w:val="26"/>
      <w:lang w:val="uk-UA" w:eastAsia="ru-RU"/>
    </w:rPr>
  </w:style>
  <w:style w:type="paragraph" w:styleId="1">
    <w:name w:val="heading 1"/>
    <w:basedOn w:val="a0"/>
    <w:next w:val="a0"/>
    <w:link w:val="10"/>
    <w:qFormat/>
    <w:pPr>
      <w:keepNext/>
      <w:spacing w:before="240"/>
      <w:ind w:left="567"/>
      <w:outlineLvl w:val="0"/>
    </w:pPr>
    <w:rPr>
      <w:b/>
      <w:smallCaps/>
      <w:sz w:val="28"/>
      <w:lang w:val="x-none"/>
    </w:rPr>
  </w:style>
  <w:style w:type="paragraph" w:styleId="2">
    <w:name w:val="heading 2"/>
    <w:basedOn w:val="a0"/>
    <w:next w:val="a0"/>
    <w:link w:val="20"/>
    <w:qFormat/>
    <w:pPr>
      <w:keepNext/>
      <w:spacing w:before="120"/>
      <w:ind w:left="567"/>
      <w:outlineLvl w:val="1"/>
    </w:pPr>
    <w:rPr>
      <w:b/>
      <w:lang w:val="x-none"/>
    </w:rPr>
  </w:style>
  <w:style w:type="paragraph" w:styleId="3">
    <w:name w:val="heading 3"/>
    <w:basedOn w:val="a0"/>
    <w:next w:val="a0"/>
    <w:link w:val="30"/>
    <w:qFormat/>
    <w:pPr>
      <w:keepNext/>
      <w:spacing w:before="120"/>
      <w:ind w:left="567"/>
      <w:outlineLvl w:val="2"/>
    </w:pPr>
    <w:rPr>
      <w:b/>
      <w:i/>
      <w:lang w:val="x-none"/>
    </w:rPr>
  </w:style>
  <w:style w:type="paragraph" w:styleId="4">
    <w:name w:val="heading 4"/>
    <w:basedOn w:val="a0"/>
    <w:next w:val="a0"/>
    <w:link w:val="40"/>
    <w:qFormat/>
    <w:pPr>
      <w:keepNext/>
      <w:spacing w:before="120"/>
      <w:ind w:left="567"/>
      <w:outlineLvl w:val="3"/>
    </w:pPr>
    <w:rPr>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pPr>
    <w:rPr>
      <w:lang w:val="x-none"/>
    </w:rPr>
  </w:style>
  <w:style w:type="paragraph" w:customStyle="1" w:styleId="a6">
    <w:name w:val="Нормальний текст"/>
    <w:basedOn w:val="a0"/>
    <w:pPr>
      <w:spacing w:before="120"/>
      <w:ind w:firstLine="567"/>
    </w:pPr>
  </w:style>
  <w:style w:type="paragraph" w:customStyle="1" w:styleId="a7">
    <w:name w:val="Шапка документу"/>
    <w:basedOn w:val="a0"/>
    <w:pPr>
      <w:keepNext/>
      <w:keepLines/>
      <w:spacing w:after="240"/>
      <w:ind w:left="4536"/>
      <w:jc w:val="center"/>
    </w:pPr>
  </w:style>
  <w:style w:type="paragraph" w:styleId="a8">
    <w:name w:val="header"/>
    <w:basedOn w:val="a0"/>
    <w:link w:val="a9"/>
    <w:uiPriority w:val="99"/>
    <w:pPr>
      <w:tabs>
        <w:tab w:val="center" w:pos="4153"/>
        <w:tab w:val="right" w:pos="8306"/>
      </w:tabs>
    </w:pPr>
    <w:rPr>
      <w:lang w:val="x-none"/>
    </w:rPr>
  </w:style>
  <w:style w:type="paragraph" w:customStyle="1" w:styleId="aa">
    <w:name w:val="Підпис"/>
    <w:basedOn w:val="a0"/>
    <w:pPr>
      <w:keepLines/>
      <w:tabs>
        <w:tab w:val="center" w:pos="2268"/>
        <w:tab w:val="left" w:pos="6804"/>
      </w:tabs>
      <w:spacing w:before="360"/>
    </w:pPr>
    <w:rPr>
      <w:b/>
      <w:position w:val="-48"/>
    </w:rPr>
  </w:style>
  <w:style w:type="paragraph" w:customStyle="1" w:styleId="ab">
    <w:name w:val="Глава документу"/>
    <w:basedOn w:val="a0"/>
    <w:next w:val="a0"/>
    <w:pPr>
      <w:keepNext/>
      <w:keepLines/>
      <w:spacing w:before="120" w:after="120"/>
      <w:jc w:val="center"/>
    </w:pPr>
  </w:style>
  <w:style w:type="paragraph" w:customStyle="1" w:styleId="ac">
    <w:name w:val="Герб"/>
    <w:basedOn w:val="a0"/>
    <w:pPr>
      <w:keepNext/>
      <w:keepLines/>
      <w:jc w:val="center"/>
    </w:pPr>
    <w:rPr>
      <w:sz w:val="144"/>
      <w:lang w:val="en-US"/>
    </w:rPr>
  </w:style>
  <w:style w:type="paragraph" w:customStyle="1" w:styleId="ad">
    <w:name w:val="Установа"/>
    <w:basedOn w:val="a0"/>
    <w:pPr>
      <w:keepNext/>
      <w:keepLines/>
      <w:spacing w:before="120"/>
      <w:jc w:val="center"/>
    </w:pPr>
    <w:rPr>
      <w:b/>
      <w:sz w:val="40"/>
    </w:rPr>
  </w:style>
  <w:style w:type="paragraph" w:customStyle="1" w:styleId="ae">
    <w:name w:val="Вид документа"/>
    <w:basedOn w:val="ad"/>
    <w:next w:val="a0"/>
    <w:pPr>
      <w:spacing w:before="360" w:after="240"/>
    </w:pPr>
    <w:rPr>
      <w:spacing w:val="20"/>
      <w:sz w:val="26"/>
    </w:rPr>
  </w:style>
  <w:style w:type="paragraph" w:customStyle="1" w:styleId="af">
    <w:name w:val="Час та місце"/>
    <w:basedOn w:val="a0"/>
    <w:pPr>
      <w:keepNext/>
      <w:keepLines/>
      <w:spacing w:before="120" w:after="240"/>
      <w:jc w:val="center"/>
    </w:pPr>
  </w:style>
  <w:style w:type="paragraph" w:customStyle="1" w:styleId="af0">
    <w:name w:val="Назва документа"/>
    <w:basedOn w:val="a0"/>
    <w:next w:val="a6"/>
    <w:pPr>
      <w:keepNext/>
      <w:keepLines/>
      <w:spacing w:before="240" w:after="240"/>
      <w:jc w:val="center"/>
    </w:pPr>
    <w:rPr>
      <w:b/>
    </w:rPr>
  </w:style>
  <w:style w:type="paragraph" w:customStyle="1" w:styleId="NormalText">
    <w:name w:val="Normal Text"/>
    <w:basedOn w:val="a0"/>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423E81"/>
    <w:rPr>
      <w:rFonts w:ascii="Antiqua" w:hAnsi="Antiqua"/>
      <w:b/>
      <w:smallCaps/>
      <w:sz w:val="28"/>
      <w:lang w:eastAsia="ru-RU"/>
    </w:rPr>
  </w:style>
  <w:style w:type="character" w:customStyle="1" w:styleId="20">
    <w:name w:val="Заголовок 2 Знак"/>
    <w:link w:val="2"/>
    <w:rsid w:val="00423E81"/>
    <w:rPr>
      <w:rFonts w:ascii="Antiqua" w:hAnsi="Antiqua"/>
      <w:b/>
      <w:sz w:val="26"/>
      <w:lang w:eastAsia="ru-RU"/>
    </w:rPr>
  </w:style>
  <w:style w:type="character" w:customStyle="1" w:styleId="30">
    <w:name w:val="Заголовок 3 Знак"/>
    <w:link w:val="3"/>
    <w:rsid w:val="00423E81"/>
    <w:rPr>
      <w:rFonts w:ascii="Antiqua" w:hAnsi="Antiqua"/>
      <w:b/>
      <w:i/>
      <w:sz w:val="26"/>
      <w:lang w:eastAsia="ru-RU"/>
    </w:rPr>
  </w:style>
  <w:style w:type="character" w:customStyle="1" w:styleId="40">
    <w:name w:val="Заголовок 4 Знак"/>
    <w:link w:val="4"/>
    <w:rsid w:val="00423E81"/>
    <w:rPr>
      <w:rFonts w:ascii="Antiqua" w:hAnsi="Antiqua"/>
      <w:sz w:val="26"/>
      <w:lang w:eastAsia="ru-RU"/>
    </w:rPr>
  </w:style>
  <w:style w:type="character" w:customStyle="1" w:styleId="a5">
    <w:name w:val="Нижний колонтитул Знак"/>
    <w:link w:val="a4"/>
    <w:rsid w:val="00423E81"/>
    <w:rPr>
      <w:rFonts w:ascii="Antiqua" w:hAnsi="Antiqua"/>
      <w:sz w:val="26"/>
      <w:lang w:eastAsia="ru-RU"/>
    </w:rPr>
  </w:style>
  <w:style w:type="character" w:customStyle="1" w:styleId="a9">
    <w:name w:val="Верхний колонтитул Знак"/>
    <w:link w:val="a8"/>
    <w:uiPriority w:val="99"/>
    <w:rsid w:val="00423E81"/>
    <w:rPr>
      <w:rFonts w:ascii="Antiqua" w:hAnsi="Antiqua"/>
      <w:sz w:val="26"/>
      <w:lang w:eastAsia="ru-RU"/>
    </w:rPr>
  </w:style>
  <w:style w:type="character" w:styleId="af1">
    <w:name w:val="Strong"/>
    <w:qFormat/>
    <w:rsid w:val="00423E81"/>
    <w:rPr>
      <w:rFonts w:cs="Times New Roman"/>
      <w:b/>
      <w:bCs/>
    </w:rPr>
  </w:style>
  <w:style w:type="paragraph" w:customStyle="1" w:styleId="TimesNewRoman">
    <w:name w:val="Обычный + Times New Roman"/>
    <w:aliases w:val="13 пт,полужирный,По центру,Слева:  0,36 см,Пос..."/>
    <w:basedOn w:val="a0"/>
    <w:link w:val="TimesNewRoman0"/>
    <w:rsid w:val="00423E81"/>
    <w:pPr>
      <w:widowControl w:val="0"/>
      <w:autoSpaceDE w:val="0"/>
      <w:autoSpaceDN w:val="0"/>
      <w:adjustRightInd w:val="0"/>
      <w:ind w:left="203"/>
      <w:jc w:val="center"/>
    </w:pPr>
    <w:rPr>
      <w:rFonts w:ascii="Times New Roman" w:hAnsi="Times New Roman"/>
      <w:b/>
      <w:bCs/>
      <w:szCs w:val="26"/>
      <w:lang w:val="x-none" w:eastAsia="x-none"/>
    </w:rPr>
  </w:style>
  <w:style w:type="character" w:customStyle="1" w:styleId="TimesNewRoman0">
    <w:name w:val="Обычный + Times New Roman Знак"/>
    <w:aliases w:val="13 пт Знак,полужирный Знак,По центру Знак,Слева:  0 Знак,36 см Знак,Пос... Знак"/>
    <w:link w:val="TimesNewRoman"/>
    <w:rsid w:val="00423E81"/>
    <w:rPr>
      <w:b/>
      <w:bCs/>
      <w:sz w:val="26"/>
      <w:szCs w:val="26"/>
    </w:rPr>
  </w:style>
  <w:style w:type="character" w:styleId="af2">
    <w:name w:val="Hyperlink"/>
    <w:rsid w:val="00423E81"/>
    <w:rPr>
      <w:color w:val="0000FF"/>
      <w:u w:val="single"/>
    </w:rPr>
  </w:style>
  <w:style w:type="paragraph" w:styleId="af3">
    <w:name w:val="footnote text"/>
    <w:basedOn w:val="a0"/>
    <w:link w:val="af4"/>
    <w:semiHidden/>
    <w:rsid w:val="00423E81"/>
    <w:rPr>
      <w:rFonts w:ascii="Times New Roman" w:hAnsi="Times New Roman"/>
      <w:sz w:val="20"/>
      <w:lang w:eastAsia="uk-UA"/>
    </w:rPr>
  </w:style>
  <w:style w:type="character" w:customStyle="1" w:styleId="af4">
    <w:name w:val="Текст сноски Знак"/>
    <w:basedOn w:val="a1"/>
    <w:link w:val="af3"/>
    <w:semiHidden/>
    <w:rsid w:val="00423E81"/>
  </w:style>
  <w:style w:type="character" w:styleId="af5">
    <w:name w:val="footnote reference"/>
    <w:semiHidden/>
    <w:rsid w:val="00423E81"/>
    <w:rPr>
      <w:vertAlign w:val="superscript"/>
    </w:rPr>
  </w:style>
  <w:style w:type="paragraph" w:styleId="af6">
    <w:name w:val="Balloon Text"/>
    <w:basedOn w:val="a0"/>
    <w:link w:val="af7"/>
    <w:semiHidden/>
    <w:rsid w:val="00423E81"/>
    <w:rPr>
      <w:rFonts w:ascii="Tahoma" w:hAnsi="Tahoma"/>
      <w:sz w:val="16"/>
      <w:szCs w:val="16"/>
      <w:lang w:val="x-none" w:eastAsia="x-none"/>
    </w:rPr>
  </w:style>
  <w:style w:type="character" w:customStyle="1" w:styleId="af7">
    <w:name w:val="Текст выноски Знак"/>
    <w:link w:val="af6"/>
    <w:semiHidden/>
    <w:rsid w:val="00423E81"/>
    <w:rPr>
      <w:rFonts w:ascii="Tahoma" w:hAnsi="Tahoma"/>
      <w:sz w:val="16"/>
      <w:szCs w:val="16"/>
      <w:lang w:eastAsia="x-none"/>
    </w:rPr>
  </w:style>
  <w:style w:type="paragraph" w:customStyle="1" w:styleId="Default">
    <w:name w:val="Default"/>
    <w:rsid w:val="00423E81"/>
    <w:pPr>
      <w:autoSpaceDE w:val="0"/>
      <w:autoSpaceDN w:val="0"/>
      <w:adjustRightInd w:val="0"/>
    </w:pPr>
    <w:rPr>
      <w:color w:val="000000"/>
      <w:sz w:val="24"/>
      <w:szCs w:val="24"/>
      <w:lang w:val="ru-RU" w:eastAsia="ru-RU" w:bidi="te-IN"/>
    </w:rPr>
  </w:style>
  <w:style w:type="paragraph" w:customStyle="1" w:styleId="Standard">
    <w:name w:val="Standard"/>
    <w:rsid w:val="00423E81"/>
    <w:pPr>
      <w:suppressAutoHyphens/>
      <w:jc w:val="both"/>
    </w:pPr>
    <w:rPr>
      <w:kern w:val="1"/>
      <w:sz w:val="22"/>
      <w:szCs w:val="22"/>
      <w:lang w:val="en-GB" w:eastAsia="ar-SA"/>
    </w:rPr>
  </w:style>
  <w:style w:type="paragraph" w:styleId="af8">
    <w:name w:val="Normal (Web)"/>
    <w:basedOn w:val="a0"/>
    <w:rsid w:val="00423E81"/>
    <w:pPr>
      <w:spacing w:before="15" w:after="15"/>
    </w:pPr>
    <w:rPr>
      <w:rFonts w:ascii="Times New Roman" w:hAnsi="Times New Roman"/>
      <w:color w:val="000000"/>
      <w:sz w:val="24"/>
      <w:szCs w:val="24"/>
      <w:lang w:eastAsia="uk-UA"/>
    </w:rPr>
  </w:style>
  <w:style w:type="paragraph" w:styleId="a">
    <w:name w:val="List Number"/>
    <w:basedOn w:val="a0"/>
    <w:rsid w:val="00423E81"/>
    <w:pPr>
      <w:numPr>
        <w:numId w:val="13"/>
      </w:numPr>
      <w:tabs>
        <w:tab w:val="clear" w:pos="1134"/>
        <w:tab w:val="num" w:pos="709"/>
      </w:tabs>
      <w:spacing w:before="120" w:after="120"/>
      <w:ind w:left="709" w:hanging="709"/>
      <w:jc w:val="both"/>
    </w:pPr>
    <w:rPr>
      <w:rFonts w:ascii="Times New Roman" w:hAnsi="Times New Roman"/>
      <w:sz w:val="24"/>
      <w:szCs w:val="24"/>
      <w:lang w:val="en-GB" w:eastAsia="en-GB"/>
    </w:rPr>
  </w:style>
  <w:style w:type="paragraph" w:customStyle="1" w:styleId="ListNumberLevel2">
    <w:name w:val="List Number (Level 2)"/>
    <w:basedOn w:val="a0"/>
    <w:rsid w:val="00423E81"/>
    <w:pPr>
      <w:numPr>
        <w:numId w:val="14"/>
      </w:numPr>
      <w:tabs>
        <w:tab w:val="num" w:pos="1417"/>
      </w:tabs>
      <w:spacing w:before="120" w:after="120"/>
      <w:ind w:left="1417" w:hanging="708"/>
      <w:jc w:val="both"/>
    </w:pPr>
    <w:rPr>
      <w:rFonts w:ascii="Times New Roman" w:hAnsi="Times New Roman"/>
      <w:sz w:val="24"/>
      <w:szCs w:val="24"/>
      <w:lang w:val="en-GB" w:eastAsia="en-GB"/>
    </w:rPr>
  </w:style>
  <w:style w:type="paragraph" w:customStyle="1" w:styleId="ListNumberLevel3">
    <w:name w:val="List Number (Level 3)"/>
    <w:basedOn w:val="a0"/>
    <w:rsid w:val="00423E81"/>
    <w:pPr>
      <w:numPr>
        <w:ilvl w:val="1"/>
        <w:numId w:val="14"/>
      </w:numPr>
      <w:tabs>
        <w:tab w:val="num" w:pos="2126"/>
      </w:tabs>
      <w:spacing w:before="120" w:after="120"/>
      <w:ind w:left="2126" w:hanging="709"/>
      <w:jc w:val="both"/>
    </w:pPr>
    <w:rPr>
      <w:rFonts w:ascii="Times New Roman" w:hAnsi="Times New Roman"/>
      <w:sz w:val="24"/>
      <w:szCs w:val="24"/>
      <w:lang w:val="en-GB" w:eastAsia="en-GB"/>
    </w:rPr>
  </w:style>
  <w:style w:type="paragraph" w:customStyle="1" w:styleId="ListNumberLevel4">
    <w:name w:val="List Number (Level 4)"/>
    <w:basedOn w:val="a0"/>
    <w:rsid w:val="00423E81"/>
    <w:pPr>
      <w:numPr>
        <w:ilvl w:val="2"/>
        <w:numId w:val="14"/>
      </w:numPr>
      <w:tabs>
        <w:tab w:val="num" w:pos="2835"/>
      </w:tabs>
      <w:spacing w:before="120" w:after="120"/>
      <w:ind w:left="2835"/>
      <w:jc w:val="both"/>
    </w:pPr>
    <w:rPr>
      <w:rFonts w:ascii="Times New Roman" w:hAnsi="Times New Roman"/>
      <w:sz w:val="24"/>
      <w:szCs w:val="24"/>
      <w:lang w:val="en-GB" w:eastAsia="en-GB"/>
    </w:rPr>
  </w:style>
  <w:style w:type="paragraph" w:customStyle="1" w:styleId="af9">
    <w:name w:val="Знак"/>
    <w:basedOn w:val="a0"/>
    <w:rsid w:val="00423E81"/>
    <w:rPr>
      <w:rFonts w:ascii="Verdana" w:hAnsi="Verdana"/>
      <w:sz w:val="24"/>
      <w:szCs w:val="24"/>
      <w:lang w:val="en-US" w:eastAsia="en-US"/>
    </w:rPr>
  </w:style>
  <w:style w:type="paragraph" w:styleId="HTML">
    <w:name w:val="HTML Preformatted"/>
    <w:basedOn w:val="a0"/>
    <w:link w:val="HTML0"/>
    <w:rsid w:val="0042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423E81"/>
    <w:rPr>
      <w:rFonts w:ascii="Courier New" w:hAnsi="Courier New"/>
      <w:lang w:eastAsia="x-none"/>
    </w:rPr>
  </w:style>
  <w:style w:type="paragraph" w:customStyle="1" w:styleId="11">
    <w:name w:val="Абзац списка1"/>
    <w:basedOn w:val="a0"/>
    <w:rsid w:val="00423E81"/>
    <w:pPr>
      <w:spacing w:after="160" w:line="259" w:lineRule="auto"/>
      <w:ind w:left="720"/>
    </w:pPr>
    <w:rPr>
      <w:rFonts w:ascii="Calibri" w:hAnsi="Calibri"/>
      <w:sz w:val="22"/>
      <w:szCs w:val="22"/>
      <w:lang w:eastAsia="en-US"/>
    </w:rPr>
  </w:style>
  <w:style w:type="paragraph" w:styleId="afa">
    <w:name w:val="endnote text"/>
    <w:basedOn w:val="a0"/>
    <w:link w:val="afb"/>
    <w:rsid w:val="00423E81"/>
    <w:rPr>
      <w:rFonts w:ascii="Times New Roman" w:hAnsi="Times New Roman"/>
      <w:sz w:val="20"/>
      <w:lang w:val="x-none" w:eastAsia="x-none"/>
    </w:rPr>
  </w:style>
  <w:style w:type="character" w:customStyle="1" w:styleId="afb">
    <w:name w:val="Текст концевой сноски Знак"/>
    <w:link w:val="afa"/>
    <w:rsid w:val="00423E81"/>
    <w:rPr>
      <w:lang w:eastAsia="x-none"/>
    </w:rPr>
  </w:style>
  <w:style w:type="character" w:styleId="afc">
    <w:name w:val="endnote reference"/>
    <w:rsid w:val="00423E81"/>
    <w:rPr>
      <w:vertAlign w:val="superscript"/>
    </w:rPr>
  </w:style>
  <w:style w:type="character" w:styleId="afd">
    <w:name w:val="Emphasis"/>
    <w:qFormat/>
    <w:rsid w:val="00423E81"/>
    <w:rPr>
      <w:rFonts w:cs="Times New Roman"/>
      <w:i/>
      <w:iCs/>
    </w:rPr>
  </w:style>
  <w:style w:type="character" w:customStyle="1" w:styleId="FontStyle14">
    <w:name w:val="Font Style14"/>
    <w:rsid w:val="00423E81"/>
    <w:rPr>
      <w:rFonts w:ascii="Times New Roman" w:hAnsi="Times New Roman" w:cs="Times New Roman"/>
      <w:b/>
      <w:bCs/>
      <w:sz w:val="18"/>
      <w:szCs w:val="18"/>
    </w:rPr>
  </w:style>
  <w:style w:type="character" w:styleId="afe">
    <w:name w:val="page number"/>
    <w:rsid w:val="00423E81"/>
  </w:style>
  <w:style w:type="paragraph" w:customStyle="1" w:styleId="rvps12">
    <w:name w:val="rvps12"/>
    <w:basedOn w:val="a0"/>
    <w:rsid w:val="00423E81"/>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Пользователь</cp:lastModifiedBy>
  <cp:revision>34</cp:revision>
  <cp:lastPrinted>2002-04-19T12:13:00Z</cp:lastPrinted>
  <dcterms:created xsi:type="dcterms:W3CDTF">2015-01-13T09:00:00Z</dcterms:created>
  <dcterms:modified xsi:type="dcterms:W3CDTF">2017-06-13T14:20:00Z</dcterms:modified>
</cp:coreProperties>
</file>