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A" w:rsidRPr="007D118A" w:rsidRDefault="007D118A" w:rsidP="007D118A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ПАМ’ЯТКА працівникам Донецької обласної державної адміністрації та її структурних підрозділів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center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«Відповідальність за корупційні або пов’язані з корупцією правопорушення та усунення їх наслідків»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Законом України «Про запобігання корупції» чітко визначено терміни такі як корупційне правопорушення, корупція, неправомірна вигода, правопорушення, пов’язане з корупцією тощо.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Так,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корупційне правопорушення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це діяння, що містить ознаки корупції, вчинене особою, зазначеною у частині першій статті 3 цього Закону, за яке законом встановлено кримінальну, дисциплінарну та/або цивільно-правову відповідальність. Саме поняття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«корупція»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визначено як використання особою, зазначеною у частині першій статті 3 цього Закону, наданих їй службових повноважень чи пов’язаних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чи пов’язаних з ними можливостей. В свою чергу,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неправомірна вигода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грошові кошти або інше майно, переваги, пільги, послуги, нематеріальні активи, будь-які інші вигоди нематеріального чи не грошового характеру, які обіцяють, пропонують, надають або одержують без законних на те підстав. </w:t>
      </w:r>
      <w:r w:rsidRPr="007D118A">
        <w:rPr>
          <w:rFonts w:ascii="ProbaProRegular" w:eastAsia="Times New Roman" w:hAnsi="ProbaProRegular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Правопорушення, пов’язане з корупцією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– діяння, що не містить ознак корупції, але порушує встановлені цим Законом вимоги, заборони та обмеження, вчинене особою, зазначеною у частині першій статті 3 цього Закону, за яке законом встановлено кримінальну, адміністративну, дисциплінарну та/або цивільно-правову відповідальність.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Відповідно до статті 65 Закону України «Про запобігання корупції» (далі – Закон) особи, зазначені в частині першій статті 3 Закону, за вчинення корупційних або пов’язаних з корупцією правопорушень у встановленому законом порядку притягуються до кримінальної, адміністративної, цивільно-правової та дисциплінарної відповідальності.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Кримінальна відповідальність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Відповідно до  розділу ХVII «Злочини у сфері службової діяльності, та діяльності, пов’язаної з наданням публічних послуг» Кримінального кодексу України передбачено притягнення до  кримінальної відповідальності за низку порушень 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>серед яких: декларування недостовірної інформації; зловживання владою або службовим становищем; зловживання повноваженнями особами, які надають публічні послуги; прийняття пропозиції, обіцянки або одержання неправомірної вигоди службовою особою; незаконне збагачення; підкуп особи, яка надає публічні послуги; пропозиція, обіцянка або надання неправомірної вигоди службовій особі.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 примітці до статті 45 Кримінального кодексу України визначено, що корупційними злочинами вважаються злочини, передбачені статтями 191, 262, 308, 312, 313, 320, 357, 410 даного Кодексу у випадку їх вчинення шляхом зловживання службовим становищем, а також злочини, передбачені статтями 210, 354, 364, 364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365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,368-369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Відповідно до частини 5 статті 65 Закону особа, якій повідомлено про підозру у вчиненні нею злочину у сфері службової діяльності, підлягає відстороненню від виконання повноважень на посаді в порядку, визначеному законом.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Збитки, шкода, завдані державі внаслідок вчинення корупційного або пов’язаного з корупцією правопорушення, підлягають відшкодуванню особою, яка вчинила відповідне правопорушення, в установленому законом порядку. Кошти та інше майно, одержані внаслідок вчинення корупційного правопорушення, підлягають конфіскації або спеціальній конфіскації за рішенням суду в установленому законом порядку.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 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Адміністративна відповідальність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Перелік адміністративних корупційних правопорушень та санкцій, які застосовуються за їх вчинення, передбачені главою 13-А «Адміністративні правопорушення, пов’язані з корупцією» Кодексу України про адміністративні правопорушення, а саме статтями: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4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5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6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7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8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9-1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, 172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bdr w:val="none" w:sz="0" w:space="0" w:color="auto" w:frame="1"/>
          <w:vertAlign w:val="superscript"/>
          <w:lang w:eastAsia="uk-UA"/>
        </w:rPr>
        <w:t>9-2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. Відповідно до частини 5 статті 65 Закону особа, щодо якої складено протокол про адміністративне правопорушення, пов'язане з корупцією, якщо інше не передбачено Конституцією і законами України, може бути відсторонена від виконання службових повноважень за рішенням керівника органу (установи, підприємства, організації), в якому вона працює, до закінчення розгляду справи судом. У разі закриття провадження у справі про адміністративне правопорушення, пов'язане з корупцією, у зв'язку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прогулу, пов'язаного з 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 xml:space="preserve">таким відстороненням. Згідно із </w:t>
      </w:r>
      <w:proofErr w:type="spellStart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статтєю</w:t>
      </w:r>
      <w:proofErr w:type="spellEnd"/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 xml:space="preserve"> 38 КУпАП адміністративне стягнення за вчинення правопорушення, пов’язаного з корупцією, а також правопорушень, передбачених статтями 164-14, 212-15, 212-21 цього Кодексу, може бути накладено протягом трьох місяців з дня його виявлення, але не пізніше двох років з дня його вчинення.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Цивільно-правова відповідальність</w:t>
      </w: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 за вчинення корупційних або пов’язаних з корупцією правопорушень настає відповідно до Цивільного кодексу України у разі, коли вони призвели до негативних цивільно-правових наслідків (заподіяння матеріальної чи моральної шкоди).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Питання щодо притягнення державного службовця та посадової особи місцевого самоврядування до цивільно-правової відповідальності за корупційні правопорушення вирішується у судовому порядку.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b/>
          <w:bCs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Дисциплінарна відповідальність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У розділі ХІ вищевказаного Закону визначено основні засади відповідальності за корупційні або пов’язані з корупцією правопорушення та усунення їх наслідків. Слід звернути увагу на деякі з них.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Так, особа, яка вчинила корупційне правопорушення або правопорушення, пов’язане з корупцією,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діяльністю, пов’язаними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порядку. Частиною 3 статті 65 Закону передбачено, що за поданням спеціально уповноваженого суб'єкта у сфері протидії корупції або приписом Національного агентства, з метою виявлення причин та умов, що сприяли вчиненню корупційного або пов'язаного з корупцією правопорушення або невиконанню вимог Закону в інший спосіб, рішенням керівника органу, підприємства, установи, організації, в якому працює особа, яка вчинила таке правопорушення, проводиться службове розслідування в порядку, визначеному Кабінетом Міністрів України.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t>Обмеження щодо заборони особі, звільненій з посади у зв'язку з притягненням до відповідальності за корупційне правопорушення, займатися діяльністю, пов'язаною з виконанням функцій держави, місцевого самоврядування, або такою, що прирівнюється до цієї діяльності, встановлюється виключно за вмотивованим рішенням суду, якщо інше не передбачено законом.</w:t>
      </w:r>
    </w:p>
    <w:p w:rsidR="007D118A" w:rsidRPr="007D118A" w:rsidRDefault="007D118A" w:rsidP="007D118A">
      <w:pPr>
        <w:shd w:val="clear" w:color="auto" w:fill="FFFFFF"/>
        <w:spacing w:after="375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7D118A"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  <w:lastRenderedPageBreak/>
        <w:t>Відомості про осіб, яких притягнуто до відповідальності за вчинення корупційних правопорушень щодо яких судами прийняті відповідні рішення, які набрали законної сили, а також відомості про накладення дисциплінарних стягнень за корупційні правопорушення заносяться до Єдиного державного реєстру осіб, які вчинили корупційні правопорушення.</w:t>
      </w:r>
    </w:p>
    <w:p w:rsidR="007D118A" w:rsidRPr="007D118A" w:rsidRDefault="007D118A" w:rsidP="007D118A">
      <w:pPr>
        <w:shd w:val="clear" w:color="auto" w:fill="FFFFFF"/>
        <w:spacing w:after="0" w:line="405" w:lineRule="atLeast"/>
        <w:jc w:val="both"/>
        <w:textAlignment w:val="baseline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bookmarkStart w:id="0" w:name="_GoBack"/>
      <w:r w:rsidRPr="007D118A">
        <w:rPr>
          <w:rFonts w:ascii="ProbaProRegular" w:eastAsia="Times New Roman" w:hAnsi="ProbaProRegular" w:cs="Times New Roman"/>
          <w:i/>
          <w:iCs/>
          <w:color w:val="1D1D1B"/>
          <w:sz w:val="27"/>
          <w:szCs w:val="27"/>
          <w:bdr w:val="none" w:sz="0" w:space="0" w:color="auto" w:frame="1"/>
          <w:lang w:eastAsia="uk-UA"/>
        </w:rPr>
        <w:t>Пам’ятку підготовлено управлінням запобігання та виявлення корупції облдержадміністрації</w:t>
      </w:r>
    </w:p>
    <w:bookmarkEnd w:id="0"/>
    <w:p w:rsidR="00AC10F8" w:rsidRPr="007D118A" w:rsidRDefault="00AC10F8" w:rsidP="007D118A"/>
    <w:sectPr w:rsidR="00AC10F8" w:rsidRPr="007D11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6C1"/>
    <w:multiLevelType w:val="multilevel"/>
    <w:tmpl w:val="8A4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E5456"/>
    <w:multiLevelType w:val="multilevel"/>
    <w:tmpl w:val="5488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3485C"/>
    <w:multiLevelType w:val="multilevel"/>
    <w:tmpl w:val="55D2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BA"/>
    <w:rsid w:val="000033B3"/>
    <w:rsid w:val="003D0BBA"/>
    <w:rsid w:val="007D118A"/>
    <w:rsid w:val="00855852"/>
    <w:rsid w:val="00A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063E"/>
  <w15:chartTrackingRefBased/>
  <w15:docId w15:val="{E58FCE1D-97DC-4AFA-9EEF-E638F65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D0BBA"/>
    <w:rPr>
      <w:b/>
      <w:bCs/>
    </w:rPr>
  </w:style>
  <w:style w:type="character" w:styleId="a5">
    <w:name w:val="Emphasis"/>
    <w:basedOn w:val="a0"/>
    <w:uiPriority w:val="20"/>
    <w:qFormat/>
    <w:rsid w:val="003D0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 Сазонов</cp:lastModifiedBy>
  <cp:revision>3</cp:revision>
  <dcterms:created xsi:type="dcterms:W3CDTF">2020-04-23T14:44:00Z</dcterms:created>
  <dcterms:modified xsi:type="dcterms:W3CDTF">2021-08-31T07:58:00Z</dcterms:modified>
</cp:coreProperties>
</file>