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DEF4" w14:textId="77777777" w:rsidR="00AA00B0" w:rsidRDefault="00000000">
      <w:pPr>
        <w:pStyle w:val="Standard"/>
        <w:jc w:val="center"/>
      </w:pPr>
      <w:r>
        <w:rPr>
          <w:rStyle w:val="ac"/>
          <w:rFonts w:cs="Times New Roman"/>
          <w:b/>
          <w:sz w:val="28"/>
          <w:szCs w:val="28"/>
        </w:rPr>
        <w:t>З В І Т</w:t>
      </w:r>
    </w:p>
    <w:p w14:paraId="4A36162D" w14:textId="77777777" w:rsidR="00AA00B0"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17FD8688" w14:textId="77777777" w:rsidR="00AA00B0"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741EBC23" w14:textId="77777777" w:rsidR="00AA00B0" w:rsidRDefault="00000000">
      <w:pPr>
        <w:pStyle w:val="Standard"/>
        <w:jc w:val="center"/>
        <w:rPr>
          <w:rFonts w:cs="Times New Roman"/>
          <w:b/>
          <w:sz w:val="28"/>
          <w:szCs w:val="28"/>
        </w:rPr>
      </w:pPr>
      <w:r>
        <w:rPr>
          <w:rFonts w:cs="Times New Roman"/>
          <w:b/>
          <w:sz w:val="28"/>
          <w:szCs w:val="28"/>
        </w:rPr>
        <w:t>за 3 місяці 2023 року</w:t>
      </w:r>
    </w:p>
    <w:p w14:paraId="5A247569" w14:textId="77777777" w:rsidR="00AA00B0" w:rsidRDefault="00AA00B0">
      <w:pPr>
        <w:pStyle w:val="Standard"/>
        <w:jc w:val="center"/>
        <w:rPr>
          <w:rFonts w:cs="Times New Roman"/>
          <w:b/>
          <w:sz w:val="28"/>
          <w:szCs w:val="28"/>
        </w:rPr>
      </w:pPr>
    </w:p>
    <w:p w14:paraId="43B93029" w14:textId="77777777" w:rsidR="00AA00B0" w:rsidRDefault="00AA00B0">
      <w:pPr>
        <w:pStyle w:val="Standard"/>
        <w:jc w:val="center"/>
      </w:pPr>
    </w:p>
    <w:p w14:paraId="327967C4" w14:textId="77777777" w:rsidR="00AA00B0" w:rsidRDefault="00000000">
      <w:pPr>
        <w:pStyle w:val="Standard"/>
        <w:widowControl/>
        <w:tabs>
          <w:tab w:val="left" w:pos="709"/>
        </w:tabs>
        <w:autoSpaceDE w:val="0"/>
        <w:jc w:val="both"/>
      </w:pPr>
      <w:r>
        <w:rPr>
          <w:rStyle w:val="ac"/>
          <w:sz w:val="26"/>
          <w:szCs w:val="26"/>
        </w:rPr>
        <w:t xml:space="preserve"> </w:t>
      </w:r>
      <w:r>
        <w:rPr>
          <w:rStyle w:val="ac"/>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w:t>
      </w:r>
    </w:p>
    <w:p w14:paraId="768E9FFE" w14:textId="77777777" w:rsidR="00AA00B0" w:rsidRDefault="00000000">
      <w:pPr>
        <w:pStyle w:val="Standard"/>
        <w:widowControl/>
        <w:tabs>
          <w:tab w:val="left" w:pos="390"/>
        </w:tabs>
        <w:autoSpaceDE w:val="0"/>
        <w:jc w:val="both"/>
      </w:pPr>
      <w:r>
        <w:rPr>
          <w:rStyle w:val="ac"/>
          <w:sz w:val="26"/>
          <w:szCs w:val="26"/>
        </w:rPr>
        <w:tab/>
      </w:r>
      <w:r>
        <w:rPr>
          <w:rStyle w:val="ac"/>
          <w:color w:val="FF0000"/>
          <w:sz w:val="26"/>
          <w:szCs w:val="26"/>
        </w:rPr>
        <w:t xml:space="preserve">  </w:t>
      </w:r>
      <w:r>
        <w:rPr>
          <w:rStyle w:val="ac"/>
          <w:sz w:val="26"/>
          <w:szCs w:val="26"/>
        </w:rPr>
        <w:t>На виконання заходів Антикорупційної програми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від                 08.02.2021 № 103/5-21,</w:t>
      </w:r>
      <w:r>
        <w:t xml:space="preserve"> </w:t>
      </w:r>
      <w:r>
        <w:rPr>
          <w:rStyle w:val="ac"/>
          <w:sz w:val="26"/>
          <w:szCs w:val="26"/>
        </w:rPr>
        <w:t xml:space="preserve">погодженої рішенням Національного агентства з питань запобігання корупції (далі - НАЗК) від 11.03.2021 № 161/21, згідно з Методологією управління корупційними ризиками, затвердженої наказом НАЗК від 28.12.2021                 № 830, управлінням було розроблено </w:t>
      </w:r>
      <w:proofErr w:type="spellStart"/>
      <w:r>
        <w:rPr>
          <w:rStyle w:val="ac"/>
          <w:sz w:val="26"/>
          <w:szCs w:val="26"/>
        </w:rPr>
        <w:t>проєкт</w:t>
      </w:r>
      <w:proofErr w:type="spellEnd"/>
      <w:r>
        <w:rPr>
          <w:rStyle w:val="ac"/>
          <w:sz w:val="26"/>
          <w:szCs w:val="26"/>
        </w:rPr>
        <w:t xml:space="preserve"> розпорядження голови облдержадміністрації, начальника обласної військової адміністрації від 01.02.2023             № 43/5-23 “Про проведення оцінювання корупційних ризиків”.</w:t>
      </w:r>
    </w:p>
    <w:p w14:paraId="589CD2A6" w14:textId="77777777" w:rsidR="00AA00B0" w:rsidRDefault="00000000">
      <w:pPr>
        <w:pStyle w:val="Standard"/>
        <w:widowControl/>
        <w:tabs>
          <w:tab w:val="left" w:pos="390"/>
        </w:tabs>
        <w:autoSpaceDE w:val="0"/>
        <w:jc w:val="both"/>
      </w:pPr>
      <w:r>
        <w:rPr>
          <w:rStyle w:val="ac"/>
          <w:sz w:val="26"/>
          <w:szCs w:val="26"/>
        </w:rPr>
        <w:tab/>
        <w:t xml:space="preserve">  На виконання цього розпорядження було розроблено </w:t>
      </w:r>
      <w:proofErr w:type="spellStart"/>
      <w:r>
        <w:rPr>
          <w:rStyle w:val="ac"/>
          <w:sz w:val="26"/>
          <w:szCs w:val="26"/>
        </w:rPr>
        <w:t>проєкт</w:t>
      </w:r>
      <w:proofErr w:type="spellEnd"/>
      <w:r>
        <w:rPr>
          <w:rStyle w:val="ac"/>
          <w:sz w:val="26"/>
          <w:szCs w:val="26"/>
        </w:rPr>
        <w:t xml:space="preserve">  розпорядження голови облдержадміністрації, начальника обласної військової адміністрації “Про утворення робочої групи з оцінювання корупційних ризиків у діяльності облдержадміністрації та її структурних підрозділів”, сформовано склад робочої групи та підготовлено </w:t>
      </w:r>
      <w:proofErr w:type="spellStart"/>
      <w:r>
        <w:rPr>
          <w:rStyle w:val="ac"/>
          <w:sz w:val="26"/>
          <w:szCs w:val="26"/>
        </w:rPr>
        <w:t>проєкт</w:t>
      </w:r>
      <w:proofErr w:type="spellEnd"/>
      <w:r>
        <w:rPr>
          <w:rStyle w:val="ac"/>
          <w:sz w:val="26"/>
          <w:szCs w:val="26"/>
        </w:rPr>
        <w:t xml:space="preserve"> Положення про неї.</w:t>
      </w:r>
    </w:p>
    <w:p w14:paraId="134A226B" w14:textId="77777777" w:rsidR="00AA00B0" w:rsidRDefault="00000000">
      <w:pPr>
        <w:pStyle w:val="a0"/>
        <w:widowControl/>
        <w:ind w:firstLine="567"/>
        <w:jc w:val="both"/>
      </w:pPr>
      <w:r>
        <w:rPr>
          <w:rStyle w:val="ac"/>
          <w:sz w:val="26"/>
          <w:szCs w:val="26"/>
        </w:rPr>
        <w:t xml:space="preserve"> За результатами</w:t>
      </w:r>
      <w:r>
        <w:rPr>
          <w:rStyle w:val="ac"/>
          <w:rFonts w:eastAsia="SimSun" w:cs="Times New Roman"/>
          <w:color w:val="00000A"/>
          <w:sz w:val="26"/>
          <w:szCs w:val="26"/>
          <w:shd w:val="clear" w:color="auto" w:fill="FFFFFF"/>
          <w:lang w:eastAsia="zh-CN" w:bidi="hi-IN"/>
        </w:rPr>
        <w:t xml:space="preserve"> проведення ідентифікації та оцінки корупційних ризиків та виконання в 2022 році заходів, передбачених Антикорупційною програмою, управлінням</w:t>
      </w:r>
      <w:r>
        <w:rPr>
          <w:sz w:val="26"/>
          <w:szCs w:val="26"/>
        </w:rPr>
        <w:t xml:space="preserve"> було направлено </w:t>
      </w:r>
      <w:r>
        <w:rPr>
          <w:rStyle w:val="ac"/>
          <w:rFonts w:eastAsia="SimSun" w:cs="Times New Roman"/>
          <w:color w:val="00000A"/>
          <w:sz w:val="26"/>
          <w:szCs w:val="26"/>
          <w:shd w:val="clear" w:color="auto" w:fill="FFFFFF"/>
          <w:lang w:eastAsia="zh-CN" w:bidi="hi-IN"/>
        </w:rPr>
        <w:t xml:space="preserve">до </w:t>
      </w:r>
      <w:r>
        <w:rPr>
          <w:sz w:val="26"/>
          <w:szCs w:val="26"/>
        </w:rPr>
        <w:t xml:space="preserve">НАЗК інформацію від 20.01.2023 № 0.8/15-305/4-22, необхідну для підготовки </w:t>
      </w:r>
      <w:proofErr w:type="spellStart"/>
      <w:r>
        <w:rPr>
          <w:sz w:val="26"/>
          <w:szCs w:val="26"/>
        </w:rPr>
        <w:t>проєкту</w:t>
      </w:r>
      <w:proofErr w:type="spellEnd"/>
      <w:r>
        <w:rPr>
          <w:sz w:val="26"/>
          <w:szCs w:val="26"/>
        </w:rPr>
        <w:t xml:space="preserve"> щорічної національної доповіді щодо реалізації засад державної антикорупційної політики.</w:t>
      </w:r>
      <w:r>
        <w:rPr>
          <w:sz w:val="26"/>
          <w:szCs w:val="26"/>
        </w:rPr>
        <w:tab/>
      </w:r>
    </w:p>
    <w:p w14:paraId="1E171CDE" w14:textId="77777777" w:rsidR="00AA00B0"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В січні поточного року керівники структурних підрозділів облдержадміністрації, відповідальні за виконання заходів Антикорупційної програми, надали до управління інформацію про виконання заходів програми за 2022 рік. Управлінням здійснено узагальнення наданої інформації та підготовлено відповідний звіт до НАЗК.</w:t>
      </w:r>
    </w:p>
    <w:p w14:paraId="77BB3AC0" w14:textId="77777777" w:rsidR="00AA00B0"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Цей звіт на вимогу НАЗК був поданий управлінням через “Електронний кабінет уповноваженого” на Антикорупційному порталі НАЗК 06 лютого 2023 року, про що НАЗК було поінформовано листом від </w:t>
      </w:r>
      <w:r w:rsidRPr="00A962AD">
        <w:rPr>
          <w:rStyle w:val="cef1edeee2edeee9f8f0e8f4f2e0e1e7e0f6e0"/>
          <w:rFonts w:eastAsia="SimSun" w:cs="Times New Roman"/>
          <w:color w:val="00000A"/>
          <w:sz w:val="26"/>
          <w:szCs w:val="26"/>
          <w:shd w:val="clear" w:color="auto" w:fill="FFFFFF"/>
          <w:lang w:val="ru-RU" w:eastAsia="zh-CN" w:bidi="hi-IN"/>
        </w:rPr>
        <w:t>08.02.2023</w:t>
      </w:r>
      <w:r>
        <w:rPr>
          <w:rStyle w:val="cef1edeee2edeee9f8f0e8f4f2e0e1e7e0f6e0"/>
          <w:rFonts w:eastAsia="SimSun" w:cs="Times New Roman"/>
          <w:color w:val="00000A"/>
          <w:sz w:val="26"/>
          <w:szCs w:val="26"/>
          <w:shd w:val="clear" w:color="auto" w:fill="FFFFFF"/>
          <w:lang w:eastAsia="zh-CN" w:bidi="hi-IN"/>
        </w:rPr>
        <w:t xml:space="preserve"> № </w:t>
      </w:r>
      <w:r w:rsidRPr="00A962AD">
        <w:rPr>
          <w:rStyle w:val="cef1edeee2edeee9f8f0e8f4f2e0e1e7e0f6e0"/>
          <w:rFonts w:eastAsia="SimSun" w:cs="Times New Roman"/>
          <w:color w:val="00000A"/>
          <w:sz w:val="26"/>
          <w:szCs w:val="26"/>
          <w:shd w:val="clear" w:color="auto" w:fill="FFFFFF"/>
          <w:lang w:val="ru-RU" w:eastAsia="zh-CN" w:bidi="hi-IN"/>
        </w:rPr>
        <w:t>2/0/347-23.</w:t>
      </w:r>
    </w:p>
    <w:p w14:paraId="64C9CA3D" w14:textId="77777777" w:rsidR="00AA00B0" w:rsidRDefault="00000000">
      <w:pPr>
        <w:pStyle w:val="Standard"/>
        <w:tabs>
          <w:tab w:val="left" w:pos="709"/>
          <w:tab w:val="left" w:pos="900"/>
          <w:tab w:val="left" w:pos="1200"/>
          <w:tab w:val="left" w:pos="10155"/>
        </w:tabs>
        <w:ind w:firstLine="567"/>
        <w:jc w:val="both"/>
      </w:pPr>
      <w:r>
        <w:rPr>
          <w:sz w:val="26"/>
          <w:szCs w:val="26"/>
        </w:rPr>
        <w:t xml:space="preserve">Управлінням з метою здійснення заходів Антикорупційної програми по запобіганню та врегулюванню конфлікту інтересів розроблено </w:t>
      </w:r>
      <w:proofErr w:type="spellStart"/>
      <w:r>
        <w:rPr>
          <w:sz w:val="26"/>
          <w:szCs w:val="26"/>
        </w:rPr>
        <w:t>проєкт</w:t>
      </w:r>
      <w:proofErr w:type="spellEnd"/>
      <w:r>
        <w:rPr>
          <w:sz w:val="26"/>
          <w:szCs w:val="26"/>
        </w:rPr>
        <w:t xml:space="preserve"> розпорядження голови облдержадміністрації, </w:t>
      </w:r>
      <w:r>
        <w:rPr>
          <w:rStyle w:val="ac"/>
          <w:sz w:val="26"/>
          <w:szCs w:val="26"/>
        </w:rPr>
        <w:t>начальника обласної військової адміністрації</w:t>
      </w:r>
      <w:r>
        <w:rPr>
          <w:sz w:val="26"/>
          <w:szCs w:val="26"/>
        </w:rPr>
        <w:t xml:space="preserve"> від 16.03.2023 № 98/5-23</w:t>
      </w:r>
      <w:bookmarkStart w:id="0" w:name="_GoBack"/>
      <w:bookmarkEnd w:id="0"/>
      <w:r>
        <w:rPr>
          <w:sz w:val="26"/>
          <w:szCs w:val="26"/>
        </w:rPr>
        <w:t xml:space="preserve"> “Про затвердження Порядку запобігання та врегулювання конфлікту інтересів у Донецькій обласній державній адміністрації, обласній військовій адміністрації”.</w:t>
      </w:r>
    </w:p>
    <w:p w14:paraId="2C6074FB" w14:textId="77777777" w:rsidR="00AA00B0" w:rsidRDefault="00000000">
      <w:pPr>
        <w:pStyle w:val="Standard"/>
        <w:tabs>
          <w:tab w:val="left" w:pos="709"/>
          <w:tab w:val="left" w:pos="900"/>
          <w:tab w:val="left" w:pos="1200"/>
          <w:tab w:val="left" w:pos="10155"/>
        </w:tabs>
        <w:ind w:firstLine="567"/>
        <w:jc w:val="both"/>
        <w:rPr>
          <w:sz w:val="26"/>
          <w:szCs w:val="26"/>
        </w:rPr>
      </w:pPr>
      <w:r>
        <w:rPr>
          <w:sz w:val="26"/>
          <w:szCs w:val="26"/>
        </w:rPr>
        <w:t xml:space="preserve">На офіційному сайті облдержадміністрації постійно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 про результати проведених цільових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w:t>
      </w:r>
      <w:r>
        <w:rPr>
          <w:sz w:val="26"/>
          <w:szCs w:val="26"/>
        </w:rPr>
        <w:lastRenderedPageBreak/>
        <w:t>ризиків у діяльності облдержадміністрації та її структурних підрозділів тощо. Також систематично висвітлюється інформація стосовно виконання заходів Антикорупційної програми, моніторингу її виконання.</w:t>
      </w:r>
    </w:p>
    <w:p w14:paraId="0B748D77" w14:textId="77777777" w:rsidR="00AA00B0"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 На офіційному сайті облдержадміністрації забезпечено ведення рубрики «Повідом про корупцію».</w:t>
      </w:r>
    </w:p>
    <w:p w14:paraId="1163BE43" w14:textId="77777777" w:rsidR="00AA00B0" w:rsidRDefault="00000000">
      <w:pPr>
        <w:pStyle w:val="Standard"/>
        <w:tabs>
          <w:tab w:val="left" w:pos="709"/>
          <w:tab w:val="left" w:pos="900"/>
          <w:tab w:val="left" w:pos="1200"/>
          <w:tab w:val="left" w:pos="10155"/>
        </w:tabs>
        <w:ind w:firstLine="567"/>
        <w:jc w:val="both"/>
      </w:pPr>
      <w:r>
        <w:rPr>
          <w:sz w:val="26"/>
          <w:szCs w:val="26"/>
        </w:rPr>
        <w:t xml:space="preserve"> </w:t>
      </w:r>
      <w:r>
        <w:rPr>
          <w:rStyle w:val="ac"/>
          <w:sz w:val="26"/>
          <w:szCs w:val="26"/>
        </w:rPr>
        <w:t xml:space="preserve">Управлінням систематично надається методична та консультативна допомога </w:t>
      </w:r>
      <w:r>
        <w:rPr>
          <w:rStyle w:val="ac"/>
          <w:bCs/>
          <w:sz w:val="26"/>
          <w:szCs w:val="26"/>
        </w:rPr>
        <w:t xml:space="preserve">працівникам апарату облдержадміністрації та її структурних підрозділів </w:t>
      </w:r>
      <w:r>
        <w:rPr>
          <w:rStyle w:val="ac"/>
          <w:sz w:val="26"/>
          <w:szCs w:val="26"/>
        </w:rPr>
        <w:t>з питань додержання законодавства щодо запобігання і протидії корупції, захисту прав викривачів.</w:t>
      </w:r>
    </w:p>
    <w:p w14:paraId="3A86D460" w14:textId="77777777" w:rsidR="00AA00B0" w:rsidRDefault="00000000">
      <w:pPr>
        <w:pStyle w:val="Standard"/>
        <w:tabs>
          <w:tab w:val="left" w:pos="0"/>
          <w:tab w:val="left" w:pos="10155"/>
        </w:tabs>
        <w:ind w:firstLine="567"/>
        <w:jc w:val="both"/>
      </w:pPr>
      <w:r>
        <w:rPr>
          <w:sz w:val="26"/>
          <w:szCs w:val="26"/>
        </w:rPr>
        <w:t xml:space="preserve">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c"/>
          <w:rFonts w:eastAsia="Times New Roman" w:cs="Times New Roman"/>
          <w:kern w:val="0"/>
          <w:sz w:val="26"/>
          <w:szCs w:val="26"/>
          <w:lang w:eastAsia="en-US"/>
        </w:rPr>
        <w:t xml:space="preserve">План-графік </w:t>
      </w:r>
      <w:r>
        <w:rPr>
          <w:rFonts w:eastAsia="Times New Roman" w:cs="Times New Roman"/>
          <w:kern w:val="0"/>
          <w:sz w:val="26"/>
          <w:szCs w:val="26"/>
          <w:lang w:eastAsia="en-US"/>
        </w:rPr>
        <w:t xml:space="preserve"> проведення навчальних заходів з питань дотримання вимог антикорупційного </w:t>
      </w:r>
      <w:r>
        <w:rPr>
          <w:rStyle w:val="ac"/>
          <w:rFonts w:eastAsia="Times New Roman" w:cs="Times New Roman"/>
          <w:kern w:val="0"/>
          <w:sz w:val="26"/>
          <w:szCs w:val="26"/>
          <w:lang w:eastAsia="en-US"/>
        </w:rPr>
        <w:t xml:space="preserve">  законодавства в Донецькій обласній державній адміністрації на 2023 рік.</w:t>
      </w:r>
    </w:p>
    <w:p w14:paraId="618E3E04" w14:textId="77777777" w:rsidR="00AA00B0" w:rsidRDefault="00000000">
      <w:pPr>
        <w:pStyle w:val="a4"/>
        <w:tabs>
          <w:tab w:val="left" w:pos="0"/>
        </w:tabs>
        <w:jc w:val="both"/>
        <w:rPr>
          <w:rFonts w:hint="eastAsia"/>
        </w:rPr>
      </w:pPr>
      <w:r>
        <w:rPr>
          <w:rStyle w:val="ac"/>
          <w:rFonts w:ascii="Times New Roman" w:hAnsi="Times New Roman" w:cs="Times New Roman"/>
          <w:sz w:val="26"/>
          <w:szCs w:val="26"/>
        </w:rPr>
        <w:tab/>
      </w:r>
      <w:r>
        <w:rPr>
          <w:rStyle w:val="ac"/>
          <w:rFonts w:ascii="Times New Roman" w:hAnsi="Times New Roman" w:cs="Times New Roman"/>
          <w:color w:val="auto"/>
          <w:sz w:val="26"/>
          <w:szCs w:val="26"/>
        </w:rPr>
        <w:t>Згідно Указу Президента від 24  лютого 2022 року № 64/2022 «Про введення воєнного стану в Україні», листа НАЗК від 21 березня 2022 року № 20-13/10165-22 управлінням на  період  дії  правового  режиму  воєнного  стану (не вбачається можливим) обмежено виконання окремих функцій та завдань, зокрема проведення внутрішніх навчань.</w:t>
      </w:r>
    </w:p>
    <w:p w14:paraId="28EE02CF" w14:textId="77777777" w:rsidR="00AA00B0" w:rsidRDefault="00000000">
      <w:pPr>
        <w:pStyle w:val="a4"/>
        <w:tabs>
          <w:tab w:val="left" w:pos="0"/>
        </w:tabs>
        <w:ind w:firstLine="567"/>
        <w:jc w:val="both"/>
        <w:rPr>
          <w:rFonts w:hint="eastAsia"/>
        </w:rPr>
      </w:pPr>
      <w:r>
        <w:rPr>
          <w:rFonts w:ascii="Times New Roman" w:hAnsi="Times New Roman" w:cs="Times New Roman"/>
          <w:color w:val="auto"/>
          <w:sz w:val="26"/>
          <w:szCs w:val="26"/>
        </w:rPr>
        <w:t>Разом з тим, управлінням ініційовано розроблення методичних рекомендацій за Планом-графіком проведення навчальних заходів. З</w:t>
      </w:r>
      <w:r>
        <w:rPr>
          <w:rStyle w:val="ac"/>
          <w:rFonts w:ascii="Times New Roman" w:eastAsia="Times New Roman" w:hAnsi="Times New Roman" w:cs="Times New Roman"/>
          <w:kern w:val="0"/>
          <w:sz w:val="26"/>
          <w:szCs w:val="26"/>
          <w:lang w:eastAsia="en-US"/>
        </w:rPr>
        <w:t xml:space="preserve"> метою підвищення рівня знань антикорупційного законодавства методичні рекомендації розробляються за встановленою тематикою та потім направляються до структурних підрозділів облдержадміністрації, структурних підрозділів апарату облдержадміністрації для ознайомлення з ними їх працівників.</w:t>
      </w:r>
    </w:p>
    <w:p w14:paraId="4DEE937E" w14:textId="77777777" w:rsidR="00AA00B0" w:rsidRDefault="00000000">
      <w:pPr>
        <w:pStyle w:val="a4"/>
        <w:tabs>
          <w:tab w:val="left" w:pos="0"/>
        </w:tabs>
        <w:ind w:firstLine="567"/>
        <w:jc w:val="both"/>
        <w:rPr>
          <w:rFonts w:hint="eastAsia"/>
        </w:rPr>
      </w:pPr>
      <w:r>
        <w:rPr>
          <w:rStyle w:val="ac"/>
          <w:rFonts w:ascii="Times New Roman" w:eastAsia="Times New Roman" w:hAnsi="Times New Roman" w:cs="Times New Roman"/>
          <w:kern w:val="0"/>
          <w:sz w:val="26"/>
          <w:szCs w:val="26"/>
          <w:lang w:eastAsia="en-US"/>
        </w:rPr>
        <w:t>З початку року управлінням були розроблені та направлені методичні рекомендації за темами:</w:t>
      </w:r>
    </w:p>
    <w:p w14:paraId="549D2FE0" w14:textId="77777777" w:rsidR="00AA00B0" w:rsidRDefault="00000000">
      <w:pPr>
        <w:pStyle w:val="Standard"/>
        <w:ind w:firstLine="709"/>
        <w:jc w:val="both"/>
        <w:rPr>
          <w:sz w:val="26"/>
          <w:szCs w:val="26"/>
        </w:rPr>
      </w:pPr>
      <w:r>
        <w:rPr>
          <w:sz w:val="26"/>
          <w:szCs w:val="26"/>
        </w:rPr>
        <w:t>31.01.2023 за № 12/0/245-23 за темою «Фінансовий контроль та особливості декларування в умовах воєнного стану»;</w:t>
      </w:r>
    </w:p>
    <w:p w14:paraId="2D427BD1" w14:textId="77777777" w:rsidR="00AA00B0" w:rsidRDefault="00000000">
      <w:pPr>
        <w:pStyle w:val="Standard"/>
        <w:tabs>
          <w:tab w:val="left" w:pos="0"/>
        </w:tabs>
        <w:ind w:firstLine="709"/>
        <w:jc w:val="both"/>
      </w:pPr>
      <w:r>
        <w:rPr>
          <w:rStyle w:val="ac"/>
          <w:rFonts w:eastAsia="Times New Roman" w:cs="Times New Roman"/>
          <w:kern w:val="0"/>
          <w:sz w:val="26"/>
          <w:szCs w:val="26"/>
          <w:lang w:eastAsia="en-US"/>
        </w:rPr>
        <w:t>28.02.2023 за № 25/0/245-23 за темою «Деякі особливості декларування в умовах воєнного стану».</w:t>
      </w:r>
    </w:p>
    <w:p w14:paraId="6A94D9CA" w14:textId="77777777" w:rsidR="00AA00B0"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6B74048E" w14:textId="77777777" w:rsidR="00AA00B0" w:rsidRDefault="00000000">
      <w:pPr>
        <w:pStyle w:val="a4"/>
        <w:tabs>
          <w:tab w:val="left" w:pos="709"/>
          <w:tab w:val="left" w:pos="900"/>
          <w:tab w:val="left" w:pos="1200"/>
          <w:tab w:val="left" w:pos="10155"/>
        </w:tabs>
        <w:jc w:val="both"/>
        <w:rPr>
          <w:rFonts w:hint="eastAsia"/>
        </w:rPr>
      </w:pPr>
      <w:r>
        <w:rPr>
          <w:rStyle w:val="ac"/>
          <w:rFonts w:ascii="Times New Roman" w:hAnsi="Times New Roman"/>
          <w:color w:val="auto"/>
          <w:sz w:val="26"/>
          <w:szCs w:val="26"/>
        </w:rPr>
        <w:tab/>
        <w:t>Також управлінням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для ознайомлення з ними їх працівників.</w:t>
      </w:r>
    </w:p>
    <w:p w14:paraId="5CDFA42F" w14:textId="77777777" w:rsidR="00AA00B0" w:rsidRDefault="00000000">
      <w:pPr>
        <w:pStyle w:val="a4"/>
        <w:tabs>
          <w:tab w:val="left" w:pos="709"/>
          <w:tab w:val="left" w:pos="900"/>
          <w:tab w:val="left" w:pos="1200"/>
          <w:tab w:val="left" w:pos="10155"/>
        </w:tabs>
        <w:ind w:firstLine="706"/>
        <w:jc w:val="both"/>
        <w:rPr>
          <w:rFonts w:hint="eastAsia"/>
        </w:rPr>
      </w:pPr>
      <w:r>
        <w:rPr>
          <w:rStyle w:val="ac"/>
          <w:rFonts w:ascii="Times New Roman" w:hAnsi="Times New Roman"/>
          <w:sz w:val="26"/>
          <w:szCs w:val="26"/>
        </w:rPr>
        <w:t>В поточному році працівниками управління було розроблено і направлено                  4 пам’ятки, а саме:</w:t>
      </w:r>
    </w:p>
    <w:p w14:paraId="0AAA8ECC" w14:textId="77777777" w:rsidR="00AA00B0" w:rsidRDefault="00000000">
      <w:pPr>
        <w:pStyle w:val="Standard"/>
        <w:ind w:firstLine="709"/>
        <w:jc w:val="both"/>
        <w:rPr>
          <w:sz w:val="26"/>
          <w:szCs w:val="26"/>
        </w:rPr>
      </w:pPr>
      <w:r>
        <w:rPr>
          <w:sz w:val="26"/>
          <w:szCs w:val="26"/>
        </w:rPr>
        <w:t>17.01.2023 за № 2/0/245-23, Пам’ятка «Дані для декларації»;</w:t>
      </w:r>
    </w:p>
    <w:p w14:paraId="4C34D4EB" w14:textId="77777777" w:rsidR="00AA00B0" w:rsidRDefault="00000000">
      <w:pPr>
        <w:pStyle w:val="Standard"/>
        <w:ind w:firstLine="709"/>
        <w:jc w:val="both"/>
        <w:rPr>
          <w:sz w:val="26"/>
          <w:szCs w:val="26"/>
        </w:rPr>
      </w:pPr>
      <w:r>
        <w:rPr>
          <w:sz w:val="26"/>
          <w:szCs w:val="26"/>
        </w:rPr>
        <w:t>23.01.2023 за № 8/0/245-23, Пам’ятка «Здійснення повідомлення викривачів. Гарантії державного захисту ї прав. Види правової допомоги викривачам»;</w:t>
      </w:r>
    </w:p>
    <w:p w14:paraId="21D906AD" w14:textId="77777777" w:rsidR="00AA00B0" w:rsidRDefault="00000000">
      <w:pPr>
        <w:pStyle w:val="Standard"/>
        <w:ind w:firstLine="709"/>
        <w:jc w:val="both"/>
        <w:rPr>
          <w:sz w:val="26"/>
          <w:szCs w:val="26"/>
        </w:rPr>
      </w:pPr>
      <w:r>
        <w:rPr>
          <w:sz w:val="26"/>
          <w:szCs w:val="26"/>
        </w:rPr>
        <w:t>15.03.2023 за № 29/0/245-23, Пам’ятка «Про порядок отримання з державних реєстрів інформації, необхідної для заповнення декларації особи, уповноваженої на виконання функцій держави або місцевого самоврядування»;</w:t>
      </w:r>
    </w:p>
    <w:p w14:paraId="1DE1E361" w14:textId="77777777" w:rsidR="00AA00B0" w:rsidRDefault="00000000">
      <w:pPr>
        <w:pStyle w:val="Standard"/>
        <w:ind w:firstLine="709"/>
        <w:jc w:val="both"/>
      </w:pPr>
      <w:r>
        <w:rPr>
          <w:rStyle w:val="ac"/>
          <w:rFonts w:cs="Times New Roman"/>
          <w:color w:val="00000A"/>
          <w:sz w:val="26"/>
          <w:szCs w:val="26"/>
        </w:rPr>
        <w:t xml:space="preserve">28.03.2023 за № 32/0/245-23, Пам’ятка «Щодо особливостей декларування </w:t>
      </w:r>
      <w:r>
        <w:rPr>
          <w:rStyle w:val="ac"/>
          <w:rFonts w:cs="Times New Roman"/>
          <w:color w:val="00000A"/>
          <w:sz w:val="26"/>
          <w:szCs w:val="26"/>
        </w:rPr>
        <w:lastRenderedPageBreak/>
        <w:t>грошової допомоги, отриманої від міжнародних організацій».</w:t>
      </w:r>
    </w:p>
    <w:p w14:paraId="7DDCD37B" w14:textId="77777777" w:rsidR="00AA00B0" w:rsidRDefault="00000000">
      <w:pPr>
        <w:pStyle w:val="Standard"/>
        <w:tabs>
          <w:tab w:val="left" w:pos="709"/>
          <w:tab w:val="left" w:pos="900"/>
          <w:tab w:val="left" w:pos="1200"/>
          <w:tab w:val="left" w:pos="10155"/>
        </w:tabs>
        <w:ind w:firstLine="680"/>
        <w:jc w:val="both"/>
      </w:pPr>
      <w:r>
        <w:rPr>
          <w:rStyle w:val="ac"/>
          <w:sz w:val="26"/>
          <w:szCs w:val="26"/>
        </w:rPr>
        <w:t>Всі пам’ятки були розміщені на сайті облдержадміністрації в підрозділі</w:t>
      </w:r>
      <w:r>
        <w:rPr>
          <w:rStyle w:val="ac"/>
          <w:b/>
          <w:bCs/>
          <w:sz w:val="26"/>
          <w:szCs w:val="26"/>
        </w:rPr>
        <w:t xml:space="preserve"> “</w:t>
      </w:r>
      <w:r>
        <w:rPr>
          <w:rStyle w:val="ac"/>
          <w:color w:val="000000"/>
          <w:sz w:val="26"/>
          <w:szCs w:val="26"/>
        </w:rPr>
        <w:t>Пам'ятки щодо дотримання антикорупційного законодавства”.</w:t>
      </w:r>
    </w:p>
    <w:p w14:paraId="1BAA0E52" w14:textId="77777777" w:rsidR="00AA00B0" w:rsidRDefault="00000000">
      <w:pPr>
        <w:pStyle w:val="Standard"/>
        <w:jc w:val="both"/>
      </w:pPr>
      <w:r>
        <w:rPr>
          <w:rStyle w:val="ac"/>
          <w:rFonts w:eastAsia="Times New Roman" w:cs="Times New Roman"/>
          <w:color w:val="000000"/>
          <w:sz w:val="26"/>
          <w:szCs w:val="26"/>
          <w:lang w:eastAsia="en-US" w:bidi="hi-IN"/>
        </w:rPr>
        <w:tab/>
        <w:t xml:space="preserve">На виконання листів  НАЗК від 29.04.2022 №33-02/10986 та від 20.05.2022              № 33-02/12333-22  щодо виявлення та надання до  НАЗК інформації про факти </w:t>
      </w:r>
      <w:proofErr w:type="spellStart"/>
      <w:r>
        <w:rPr>
          <w:rStyle w:val="ac"/>
          <w:rFonts w:eastAsia="Times New Roman" w:cs="Times New Roman"/>
          <w:color w:val="000000"/>
          <w:sz w:val="26"/>
          <w:szCs w:val="26"/>
          <w:lang w:eastAsia="en-US" w:bidi="hi-IN"/>
        </w:rPr>
        <w:t>колабораційної</w:t>
      </w:r>
      <w:proofErr w:type="spellEnd"/>
      <w:r>
        <w:rPr>
          <w:rStyle w:val="ac"/>
          <w:rFonts w:eastAsia="Times New Roman" w:cs="Times New Roman"/>
          <w:color w:val="000000"/>
          <w:sz w:val="26"/>
          <w:szCs w:val="26"/>
          <w:lang w:eastAsia="en-US" w:bidi="hi-IN"/>
        </w:rPr>
        <w:t xml:space="preserve">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Style w:val="ac"/>
          <w:rFonts w:eastAsia="Times New Roman" w:cs="Times New Roman"/>
          <w:color w:val="333333"/>
          <w:sz w:val="26"/>
          <w:szCs w:val="26"/>
          <w:lang w:eastAsia="en-US" w:bidi="hi-IN"/>
        </w:rPr>
        <w:t xml:space="preserve">ершого заступника голови облдержадміністрації                  </w:t>
      </w:r>
      <w:proofErr w:type="spellStart"/>
      <w:r>
        <w:rPr>
          <w:rStyle w:val="ac"/>
          <w:rFonts w:eastAsia="Times New Roman" w:cs="Times New Roman"/>
          <w:color w:val="333333"/>
          <w:sz w:val="26"/>
          <w:szCs w:val="26"/>
          <w:lang w:eastAsia="en-US" w:bidi="hi-IN"/>
        </w:rPr>
        <w:t>Ігора</w:t>
      </w:r>
      <w:proofErr w:type="spellEnd"/>
      <w:r>
        <w:rPr>
          <w:rStyle w:val="ac"/>
          <w:rFonts w:eastAsia="Times New Roman" w:cs="Times New Roman"/>
          <w:color w:val="333333"/>
          <w:sz w:val="26"/>
          <w:szCs w:val="26"/>
          <w:lang w:eastAsia="en-US" w:bidi="hi-IN"/>
        </w:rPr>
        <w:t xml:space="preserve"> МОРОЗА </w:t>
      </w:r>
      <w:r>
        <w:rPr>
          <w:rStyle w:val="ac"/>
          <w:rFonts w:eastAsia="Times New Roman" w:cs="Times New Roman"/>
          <w:color w:val="000000"/>
          <w:sz w:val="26"/>
          <w:szCs w:val="26"/>
          <w:lang w:eastAsia="en-US" w:bidi="hi-IN"/>
        </w:rPr>
        <w:t xml:space="preserve">було направлено відповідний лист від 04.05.2022 №0.2/16-1225/4-22. </w:t>
      </w:r>
      <w:r>
        <w:rPr>
          <w:rStyle w:val="ac"/>
          <w:rFonts w:eastAsia="Times New Roman" w:cs="Times New Roman"/>
          <w:color w:val="000000"/>
          <w:sz w:val="26"/>
          <w:szCs w:val="26"/>
          <w:lang w:eastAsia="en-US" w:bidi="hi-IN"/>
        </w:rPr>
        <w:tab/>
        <w:t xml:space="preserve">Вказана інформація постійно отримується і обробляється управлінням, потім за встановленою формою </w:t>
      </w:r>
      <w:proofErr w:type="spellStart"/>
      <w:r>
        <w:rPr>
          <w:rStyle w:val="ac"/>
          <w:rFonts w:eastAsia="Times New Roman" w:cs="Times New Roman"/>
          <w:color w:val="000000"/>
          <w:sz w:val="26"/>
          <w:szCs w:val="26"/>
          <w:lang w:eastAsia="en-US" w:bidi="hi-IN"/>
        </w:rPr>
        <w:t>оперативно</w:t>
      </w:r>
      <w:proofErr w:type="spellEnd"/>
      <w:r>
        <w:rPr>
          <w:rStyle w:val="ac"/>
          <w:rFonts w:eastAsia="Times New Roman" w:cs="Times New Roman"/>
          <w:color w:val="000000"/>
          <w:sz w:val="26"/>
          <w:szCs w:val="26"/>
          <w:lang w:eastAsia="en-US" w:bidi="hi-IN"/>
        </w:rPr>
        <w:t xml:space="preserve"> направляється до НАЗК для занесення до відповідного реєстру.</w:t>
      </w:r>
    </w:p>
    <w:p w14:paraId="65F42459" w14:textId="77777777" w:rsidR="00AA00B0" w:rsidRDefault="00000000">
      <w:pPr>
        <w:pStyle w:val="Standard"/>
        <w:jc w:val="both"/>
        <w:rPr>
          <w:sz w:val="26"/>
          <w:szCs w:val="26"/>
        </w:rPr>
      </w:pPr>
      <w:r>
        <w:rPr>
          <w:sz w:val="26"/>
          <w:szCs w:val="26"/>
        </w:rPr>
        <w:tab/>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62234BE3" w14:textId="77777777" w:rsidR="00AA00B0" w:rsidRDefault="00000000">
      <w:pPr>
        <w:pStyle w:val="Standard"/>
        <w:jc w:val="both"/>
      </w:pPr>
      <w:r>
        <w:rPr>
          <w:rStyle w:val="ac"/>
          <w:sz w:val="28"/>
          <w:szCs w:val="28"/>
        </w:rPr>
        <w:t xml:space="preserve">      </w:t>
      </w:r>
      <w:r>
        <w:rPr>
          <w:rStyle w:val="ac"/>
          <w:sz w:val="26"/>
          <w:szCs w:val="26"/>
        </w:rPr>
        <w:t xml:space="preserve"> Управлінням проводяться інструктажі щодо дотримання вимог Закону України “Про запобігання корупції” з працівниками, які призначаються на посади  або звільняються  з посад держслужбовців. Після початку збройної агресії </w:t>
      </w:r>
      <w:proofErr w:type="spellStart"/>
      <w:r>
        <w:rPr>
          <w:rStyle w:val="ac"/>
          <w:sz w:val="26"/>
          <w:szCs w:val="26"/>
        </w:rPr>
        <w:t>росії</w:t>
      </w:r>
      <w:proofErr w:type="spellEnd"/>
      <w:r>
        <w:rPr>
          <w:rStyle w:val="ac"/>
          <w:sz w:val="26"/>
          <w:szCs w:val="26"/>
        </w:rPr>
        <w:t xml:space="preserve"> ця робота проводиться в телефонному режимі.</w:t>
      </w:r>
    </w:p>
    <w:p w14:paraId="7F233055" w14:textId="77777777" w:rsidR="00AA00B0" w:rsidRDefault="00000000">
      <w:pPr>
        <w:pStyle w:val="Standard"/>
        <w:tabs>
          <w:tab w:val="left" w:pos="709"/>
          <w:tab w:val="left" w:pos="900"/>
          <w:tab w:val="left" w:pos="1200"/>
          <w:tab w:val="left" w:pos="10155"/>
        </w:tabs>
        <w:ind w:firstLine="567"/>
        <w:jc w:val="both"/>
      </w:pPr>
      <w:r>
        <w:rPr>
          <w:rStyle w:val="ac"/>
          <w:sz w:val="26"/>
          <w:szCs w:val="26"/>
        </w:rPr>
        <w:t xml:space="preserve"> З метою встановлення фактичної картини, що стосується діяльності в умовах воєнного стану комунальних підприємств, установ, закладів, управлінням 24.01.2023 за № 9/0/245-23 структурним підрозділам облдержадміністрації було направлено листа “Про надання інформації щодо місцезнаходження (фактичної адреси) підприємств, установ, закладів та організацій, що належать до сфери управління облдержадміністрації, та продовжують здійснювати діяльність”. Отримана інформація  узагальнена та використовується управлінням в цілях проведення контролю за виконанням їх посадовими особами вимог антикорупційного законодавства.</w:t>
      </w:r>
    </w:p>
    <w:p w14:paraId="04022A2A" w14:textId="77777777" w:rsidR="00AA00B0" w:rsidRDefault="00000000">
      <w:pPr>
        <w:pStyle w:val="Standard"/>
        <w:tabs>
          <w:tab w:val="left" w:pos="0"/>
          <w:tab w:val="left" w:pos="10155"/>
        </w:tabs>
        <w:ind w:firstLine="567"/>
        <w:jc w:val="both"/>
      </w:pPr>
      <w:r>
        <w:rPr>
          <w:sz w:val="26"/>
          <w:szCs w:val="26"/>
        </w:rPr>
        <w:t xml:space="preserve"> Розроблено та затверджено керівництвом облдержадміністрації </w:t>
      </w:r>
      <w:r>
        <w:rPr>
          <w:rStyle w:val="ac"/>
          <w:rFonts w:eastAsia="Times New Roman" w:cs="Times New Roman"/>
          <w:kern w:val="0"/>
          <w:sz w:val="26"/>
          <w:szCs w:val="26"/>
          <w:lang w:eastAsia="en-US"/>
        </w:rPr>
        <w:t>План перевірок на 2023 рік підприємств, установ, закладів та організацій, управління якими здійснює облдержадміністрація, та закладів фахової вищої освіти області щодо дотримання вимог антикорупційного законодавства.</w:t>
      </w:r>
    </w:p>
    <w:p w14:paraId="62183558" w14:textId="77777777" w:rsidR="00AA00B0" w:rsidRDefault="00000000">
      <w:pPr>
        <w:pStyle w:val="a4"/>
        <w:ind w:firstLine="567"/>
        <w:jc w:val="both"/>
        <w:rPr>
          <w:rFonts w:hint="eastAsia"/>
        </w:rPr>
      </w:pPr>
      <w:r>
        <w:rPr>
          <w:rFonts w:ascii="Times New Roman" w:hAnsi="Times New Roman"/>
          <w:sz w:val="26"/>
          <w:szCs w:val="26"/>
        </w:rPr>
        <w:t xml:space="preserve"> Забезпечено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закладах та організаціях, управління якими здійснює облдержадміністрація, шляхом проведення перевірок роботи уповноважених,  з наданням їм відповідних рекомендацій, методичної та консультативної  допомоги.</w:t>
      </w:r>
    </w:p>
    <w:p w14:paraId="55C351A0" w14:textId="77777777" w:rsidR="00AA00B0" w:rsidRDefault="00000000">
      <w:pPr>
        <w:pStyle w:val="a4"/>
        <w:ind w:firstLine="567"/>
        <w:jc w:val="both"/>
        <w:rPr>
          <w:rFonts w:ascii="Times New Roman" w:hAnsi="Times New Roman"/>
          <w:sz w:val="26"/>
          <w:szCs w:val="26"/>
        </w:rPr>
      </w:pPr>
      <w:r>
        <w:rPr>
          <w:rFonts w:ascii="Times New Roman" w:hAnsi="Times New Roman"/>
          <w:sz w:val="26"/>
          <w:szCs w:val="26"/>
        </w:rPr>
        <w:t xml:space="preserve">  З початку поточного року управлінням проведено три перевірки організації роботи  із запобігання і виявлення корупції, складено відповідні довідки з рекомендаціями по усуненню виявлених недоліків:</w:t>
      </w:r>
    </w:p>
    <w:p w14:paraId="411F4D1A" w14:textId="77777777" w:rsidR="00AA00B0" w:rsidRDefault="00000000">
      <w:pPr>
        <w:pStyle w:val="a4"/>
        <w:ind w:firstLine="567"/>
        <w:jc w:val="both"/>
        <w:rPr>
          <w:rFonts w:ascii="Times New Roman" w:hAnsi="Times New Roman"/>
          <w:sz w:val="26"/>
          <w:szCs w:val="26"/>
        </w:rPr>
      </w:pPr>
      <w:r>
        <w:rPr>
          <w:rFonts w:ascii="Times New Roman" w:hAnsi="Times New Roman"/>
          <w:sz w:val="26"/>
          <w:szCs w:val="26"/>
        </w:rPr>
        <w:tab/>
        <w:t xml:space="preserve"> 03.03.2023 за</w:t>
      </w:r>
      <w:r>
        <w:rPr>
          <w:rFonts w:ascii="Times New Roman" w:hAnsi="Times New Roman"/>
          <w:sz w:val="26"/>
          <w:szCs w:val="26"/>
          <w:lang w:val="ru-RU"/>
        </w:rPr>
        <w:t xml:space="preserve"> № 26/0/245-23, </w:t>
      </w:r>
      <w:r>
        <w:rPr>
          <w:rFonts w:ascii="Times New Roman" w:hAnsi="Times New Roman"/>
          <w:sz w:val="26"/>
          <w:szCs w:val="26"/>
        </w:rPr>
        <w:t>довідка про результати перевірки стану роботи в Комунальному некомерційному підприємстві «Психіатрична лікарня                             м. Краматорська» з питань додержання вимог Закону України «Про запобігання корупції»;</w:t>
      </w:r>
    </w:p>
    <w:p w14:paraId="68DDC073" w14:textId="77777777" w:rsidR="00AA00B0" w:rsidRDefault="00000000">
      <w:pPr>
        <w:pStyle w:val="a4"/>
        <w:ind w:firstLine="567"/>
        <w:jc w:val="both"/>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z w:val="26"/>
          <w:szCs w:val="26"/>
        </w:rPr>
        <w:tab/>
        <w:t>10.03.2023</w:t>
      </w:r>
      <w:r>
        <w:rPr>
          <w:rFonts w:ascii="Times New Roman" w:hAnsi="Times New Roman"/>
          <w:sz w:val="26"/>
          <w:szCs w:val="26"/>
          <w:lang w:val="ru-RU"/>
        </w:rPr>
        <w:t xml:space="preserve"> </w:t>
      </w:r>
      <w:r>
        <w:rPr>
          <w:rFonts w:ascii="Times New Roman" w:hAnsi="Times New Roman"/>
          <w:sz w:val="26"/>
          <w:szCs w:val="26"/>
        </w:rPr>
        <w:t xml:space="preserve">за </w:t>
      </w:r>
      <w:r>
        <w:rPr>
          <w:rFonts w:ascii="Times New Roman" w:hAnsi="Times New Roman"/>
          <w:sz w:val="26"/>
          <w:szCs w:val="26"/>
          <w:lang w:val="ru-RU"/>
        </w:rPr>
        <w:t xml:space="preserve">№ 28/0/245-23, </w:t>
      </w:r>
      <w:r>
        <w:rPr>
          <w:rFonts w:ascii="Times New Roman" w:hAnsi="Times New Roman"/>
          <w:sz w:val="26"/>
          <w:szCs w:val="26"/>
        </w:rPr>
        <w:t>довідка про результати перевірки стану роботи в  Комунальній некомерційній установі «Онкологічний диспансер м. Маріуполь»               з питань додержання вимог Закону України «Про запобігання корупції».</w:t>
      </w:r>
    </w:p>
    <w:p w14:paraId="1E2CEC19" w14:textId="77777777" w:rsidR="00AA00B0" w:rsidRDefault="00000000">
      <w:pPr>
        <w:pStyle w:val="a4"/>
        <w:ind w:firstLine="567"/>
        <w:jc w:val="both"/>
        <w:rPr>
          <w:rFonts w:ascii="Times New Roman" w:hAnsi="Times New Roman"/>
          <w:sz w:val="26"/>
          <w:szCs w:val="26"/>
        </w:rPr>
      </w:pPr>
      <w:r>
        <w:rPr>
          <w:rFonts w:ascii="Times New Roman" w:hAnsi="Times New Roman"/>
          <w:sz w:val="26"/>
          <w:szCs w:val="26"/>
        </w:rPr>
        <w:tab/>
        <w:t xml:space="preserve"> 03.04.2023 за № 35/0/245-23, довідка про результати перевірки стану роботи в </w:t>
      </w:r>
      <w:r>
        <w:rPr>
          <w:rFonts w:ascii="Times New Roman" w:hAnsi="Times New Roman"/>
          <w:spacing w:val="1"/>
          <w:sz w:val="26"/>
          <w:szCs w:val="26"/>
        </w:rPr>
        <w:t>к</w:t>
      </w:r>
      <w:r>
        <w:rPr>
          <w:rFonts w:ascii="Times New Roman" w:hAnsi="Times New Roman"/>
          <w:sz w:val="26"/>
          <w:szCs w:val="26"/>
        </w:rPr>
        <w:t>омунальному</w:t>
      </w:r>
      <w:r>
        <w:rPr>
          <w:rFonts w:ascii="Times New Roman" w:hAnsi="Times New Roman"/>
          <w:spacing w:val="1"/>
          <w:sz w:val="26"/>
          <w:szCs w:val="26"/>
        </w:rPr>
        <w:t xml:space="preserve"> </w:t>
      </w:r>
      <w:r>
        <w:rPr>
          <w:rFonts w:ascii="Times New Roman" w:hAnsi="Times New Roman"/>
          <w:sz w:val="26"/>
          <w:szCs w:val="26"/>
        </w:rPr>
        <w:t>некомерційному</w:t>
      </w:r>
      <w:r>
        <w:rPr>
          <w:rFonts w:ascii="Times New Roman" w:hAnsi="Times New Roman"/>
          <w:spacing w:val="1"/>
          <w:sz w:val="26"/>
          <w:szCs w:val="26"/>
        </w:rPr>
        <w:t xml:space="preserve"> підприємстві</w:t>
      </w:r>
      <w:r>
        <w:rPr>
          <w:rFonts w:ascii="Times New Roman" w:hAnsi="Times New Roman"/>
          <w:sz w:val="26"/>
          <w:szCs w:val="26"/>
        </w:rPr>
        <w:t xml:space="preserve"> “</w:t>
      </w:r>
      <w:proofErr w:type="spellStart"/>
      <w:r>
        <w:rPr>
          <w:rFonts w:ascii="Times New Roman" w:hAnsi="Times New Roman"/>
          <w:sz w:val="26"/>
          <w:szCs w:val="26"/>
        </w:rPr>
        <w:t>Дерматовенерологічний</w:t>
      </w:r>
      <w:proofErr w:type="spellEnd"/>
      <w:r>
        <w:rPr>
          <w:rFonts w:ascii="Times New Roman" w:hAnsi="Times New Roman"/>
          <w:sz w:val="26"/>
          <w:szCs w:val="26"/>
        </w:rPr>
        <w:t xml:space="preserve"> диспансер                м. Маріуполь” (перевірка була проведена 30.03.2023).</w:t>
      </w:r>
      <w:r>
        <w:rPr>
          <w:rFonts w:ascii="Times New Roman" w:hAnsi="Times New Roman"/>
          <w:spacing w:val="1"/>
          <w:sz w:val="26"/>
          <w:szCs w:val="26"/>
        </w:rPr>
        <w:t xml:space="preserve">             </w:t>
      </w:r>
    </w:p>
    <w:p w14:paraId="3C6A3946" w14:textId="77777777" w:rsidR="00AA00B0" w:rsidRDefault="00000000">
      <w:pPr>
        <w:pStyle w:val="a4"/>
        <w:ind w:firstLine="567"/>
        <w:jc w:val="both"/>
        <w:rPr>
          <w:rFonts w:hint="eastAsia"/>
        </w:rPr>
      </w:pPr>
      <w:r>
        <w:rPr>
          <w:rStyle w:val="ac"/>
          <w:rFonts w:ascii="Times New Roman" w:hAnsi="Times New Roman"/>
          <w:color w:val="FF0000"/>
          <w:sz w:val="26"/>
          <w:szCs w:val="26"/>
        </w:rPr>
        <w:t xml:space="preserve"> </w:t>
      </w:r>
      <w:r>
        <w:rPr>
          <w:rStyle w:val="ac"/>
          <w:rFonts w:ascii="Times New Roman" w:hAnsi="Times New Roman"/>
          <w:sz w:val="26"/>
          <w:szCs w:val="26"/>
        </w:rPr>
        <w:t>Управлінням забезпечено здійснення контролю за направленням управлінням кадрового забезпечення та з питань нагород облдержадміністрації та кадровими службами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НАЗК стосовно працівників за вчинення корупційного або пов'язаного з корупцією правопорушення.</w:t>
      </w:r>
    </w:p>
    <w:p w14:paraId="52240320" w14:textId="77777777" w:rsidR="00AA00B0" w:rsidRDefault="00000000">
      <w:pPr>
        <w:pStyle w:val="a4"/>
        <w:ind w:right="141" w:firstLine="706"/>
        <w:jc w:val="both"/>
        <w:rPr>
          <w:rFonts w:hint="eastAsia"/>
        </w:rPr>
      </w:pPr>
      <w:r>
        <w:rPr>
          <w:rFonts w:ascii="Times New Roman" w:hAnsi="Times New Roman"/>
          <w:sz w:val="26"/>
          <w:szCs w:val="26"/>
        </w:rPr>
        <w:t xml:space="preserve">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 </w:t>
      </w:r>
      <w:r>
        <w:rPr>
          <w:rStyle w:val="ac"/>
          <w:rFonts w:ascii="Times New Roman" w:hAnsi="Times New Roman"/>
          <w:sz w:val="26"/>
          <w:szCs w:val="26"/>
        </w:rPr>
        <w:t>Забезпечено ведення обліку повідомлень про корупцію, внесеними викривачами.</w:t>
      </w:r>
    </w:p>
    <w:p w14:paraId="4A98D484" w14:textId="77777777" w:rsidR="00AA00B0" w:rsidRDefault="00000000">
      <w:pPr>
        <w:pStyle w:val="a0"/>
        <w:widowControl/>
        <w:tabs>
          <w:tab w:val="left" w:pos="9639"/>
        </w:tabs>
        <w:jc w:val="both"/>
      </w:pPr>
      <w:r>
        <w:rPr>
          <w:rStyle w:val="ac"/>
          <w:rFonts w:eastAsia="Times New Roman" w:cs="Times New Roman"/>
          <w:sz w:val="26"/>
          <w:szCs w:val="26"/>
        </w:rPr>
        <w:t xml:space="preserve">        </w:t>
      </w:r>
      <w:r>
        <w:rPr>
          <w:rStyle w:val="ac"/>
          <w:rFonts w:cs="Times New Roman"/>
          <w:sz w:val="26"/>
          <w:szCs w:val="26"/>
        </w:rPr>
        <w:t>За 3 місяці 2023 року співробітниками управління опрацьовано 150 одиниць вхідної кореспонденції, в тому числі - 6 доручень центральних органів виконавчої влади, 4 листа юридичних осіб та громадських організацій з резолюціями керівництва облдержадміністрації. Розглянуто 25 звернень громадян з питань, що стосуються компетенції управління.</w:t>
      </w:r>
    </w:p>
    <w:p w14:paraId="641DA963" w14:textId="77777777" w:rsidR="00AA00B0" w:rsidRDefault="00000000">
      <w:pPr>
        <w:pStyle w:val="a0"/>
        <w:widowControl/>
        <w:tabs>
          <w:tab w:val="left" w:pos="9639"/>
        </w:tabs>
        <w:jc w:val="both"/>
      </w:pPr>
      <w:r>
        <w:rPr>
          <w:rStyle w:val="ac"/>
          <w:rFonts w:cs="Times New Roman"/>
          <w:sz w:val="26"/>
          <w:szCs w:val="26"/>
        </w:rPr>
        <w:t xml:space="preserve">         Забезпечено участь працівників управління у роботі  комісії з питань нагород при  облдержадміністрації,  комісії по списанню матеріальних цінностей, комісії</w:t>
      </w:r>
      <w:r>
        <w:rPr>
          <w:rStyle w:val="ac"/>
          <w:rFonts w:cs="Times New Roman"/>
          <w:bCs/>
          <w:sz w:val="26"/>
          <w:szCs w:val="26"/>
        </w:rPr>
        <w:t xml:space="preserve"> з оцінки корупційних ризиків</w:t>
      </w:r>
      <w:r>
        <w:rPr>
          <w:rStyle w:val="ac"/>
          <w:rFonts w:cs="Times New Roman"/>
          <w:sz w:val="26"/>
          <w:szCs w:val="26"/>
        </w:rPr>
        <w:t xml:space="preserve"> у діяльності облдержадміністрації та її структурних підрозділів, </w:t>
      </w:r>
      <w:r>
        <w:rPr>
          <w:rStyle w:val="ac"/>
          <w:rFonts w:cs="Times New Roman"/>
          <w:bCs/>
          <w:sz w:val="26"/>
          <w:szCs w:val="26"/>
        </w:rPr>
        <w:t xml:space="preserve">комісії з інвентаризації майна в </w:t>
      </w:r>
      <w:proofErr w:type="spellStart"/>
      <w:r>
        <w:rPr>
          <w:rStyle w:val="ac"/>
          <w:rFonts w:cs="Times New Roman"/>
          <w:bCs/>
          <w:sz w:val="26"/>
          <w:szCs w:val="26"/>
        </w:rPr>
        <w:t>апараті</w:t>
      </w:r>
      <w:proofErr w:type="spellEnd"/>
      <w:r>
        <w:rPr>
          <w:rStyle w:val="ac"/>
          <w:rFonts w:cs="Times New Roman"/>
          <w:bCs/>
          <w:sz w:val="26"/>
          <w:szCs w:val="26"/>
        </w:rPr>
        <w:t xml:space="preserve"> облдержадміністрації.</w:t>
      </w:r>
    </w:p>
    <w:p w14:paraId="60F82835" w14:textId="77777777" w:rsidR="00AA00B0" w:rsidRDefault="00AA00B0">
      <w:pPr>
        <w:pStyle w:val="a0"/>
        <w:widowControl/>
        <w:tabs>
          <w:tab w:val="left" w:pos="9639"/>
        </w:tabs>
        <w:jc w:val="both"/>
        <w:rPr>
          <w:sz w:val="26"/>
          <w:szCs w:val="26"/>
        </w:rPr>
      </w:pPr>
    </w:p>
    <w:p w14:paraId="2B2B7304" w14:textId="77777777" w:rsidR="00AA00B0" w:rsidRDefault="00AA00B0">
      <w:pPr>
        <w:pStyle w:val="a0"/>
        <w:widowControl/>
        <w:tabs>
          <w:tab w:val="left" w:pos="9639"/>
        </w:tabs>
        <w:jc w:val="both"/>
        <w:rPr>
          <w:sz w:val="26"/>
          <w:szCs w:val="26"/>
        </w:rPr>
      </w:pPr>
    </w:p>
    <w:p w14:paraId="3CE81A4C" w14:textId="77777777" w:rsidR="00AA00B0" w:rsidRDefault="00000000">
      <w:pPr>
        <w:pStyle w:val="a0"/>
        <w:widowControl/>
        <w:tabs>
          <w:tab w:val="left" w:pos="9639"/>
        </w:tabs>
        <w:jc w:val="both"/>
      </w:pPr>
      <w:r>
        <w:rPr>
          <w:rStyle w:val="ac"/>
          <w:rFonts w:cs="Times New Roman"/>
          <w:bCs/>
          <w:sz w:val="26"/>
          <w:szCs w:val="26"/>
        </w:rPr>
        <w:t>Начальник управління запобігання та</w:t>
      </w:r>
    </w:p>
    <w:p w14:paraId="2F45B824" w14:textId="77777777" w:rsidR="00AA00B0" w:rsidRDefault="00000000">
      <w:pPr>
        <w:pStyle w:val="a0"/>
        <w:widowControl/>
        <w:tabs>
          <w:tab w:val="left" w:pos="9639"/>
        </w:tabs>
        <w:jc w:val="both"/>
      </w:pPr>
      <w:r>
        <w:rPr>
          <w:rStyle w:val="ac"/>
          <w:rFonts w:cs="Times New Roman"/>
          <w:bCs/>
          <w:sz w:val="26"/>
          <w:szCs w:val="26"/>
        </w:rPr>
        <w:t>виявлення корупції облдержадміністрації                                     Олег СТАВИЦЬКИЙ</w:t>
      </w:r>
    </w:p>
    <w:p w14:paraId="20B61173" w14:textId="77777777" w:rsidR="00AA00B0" w:rsidRDefault="00AA00B0">
      <w:pPr>
        <w:pStyle w:val="a0"/>
        <w:widowControl/>
        <w:tabs>
          <w:tab w:val="left" w:pos="9639"/>
        </w:tabs>
        <w:jc w:val="both"/>
        <w:rPr>
          <w:sz w:val="26"/>
          <w:szCs w:val="26"/>
        </w:rPr>
      </w:pPr>
    </w:p>
    <w:p w14:paraId="03C8307D" w14:textId="77777777" w:rsidR="00AA00B0" w:rsidRDefault="00AA00B0">
      <w:pPr>
        <w:pStyle w:val="a0"/>
        <w:widowControl/>
        <w:tabs>
          <w:tab w:val="left" w:pos="9639"/>
        </w:tabs>
        <w:jc w:val="both"/>
        <w:rPr>
          <w:sz w:val="26"/>
          <w:szCs w:val="26"/>
        </w:rPr>
      </w:pPr>
    </w:p>
    <w:p w14:paraId="31F8D85E" w14:textId="77777777" w:rsidR="00AA00B0" w:rsidRDefault="00AA00B0">
      <w:pPr>
        <w:pStyle w:val="a0"/>
        <w:widowControl/>
        <w:tabs>
          <w:tab w:val="left" w:pos="9639"/>
        </w:tabs>
        <w:jc w:val="both"/>
        <w:rPr>
          <w:sz w:val="26"/>
          <w:szCs w:val="26"/>
        </w:rPr>
      </w:pPr>
    </w:p>
    <w:p w14:paraId="32916764" w14:textId="77777777" w:rsidR="00AA00B0" w:rsidRDefault="00AA00B0">
      <w:pPr>
        <w:pStyle w:val="a0"/>
        <w:widowControl/>
        <w:tabs>
          <w:tab w:val="left" w:pos="9639"/>
        </w:tabs>
        <w:jc w:val="both"/>
        <w:rPr>
          <w:sz w:val="26"/>
          <w:szCs w:val="26"/>
        </w:rPr>
      </w:pPr>
    </w:p>
    <w:p w14:paraId="0F38279F" w14:textId="77777777" w:rsidR="00AA00B0" w:rsidRDefault="00AA00B0">
      <w:pPr>
        <w:pStyle w:val="a0"/>
        <w:widowControl/>
        <w:tabs>
          <w:tab w:val="left" w:pos="9639"/>
        </w:tabs>
        <w:jc w:val="both"/>
        <w:rPr>
          <w:sz w:val="26"/>
          <w:szCs w:val="26"/>
        </w:rPr>
      </w:pPr>
    </w:p>
    <w:p w14:paraId="7854AC64" w14:textId="77777777" w:rsidR="00AA00B0" w:rsidRDefault="00AA00B0">
      <w:pPr>
        <w:pStyle w:val="a0"/>
        <w:widowControl/>
        <w:tabs>
          <w:tab w:val="left" w:pos="9639"/>
        </w:tabs>
        <w:jc w:val="both"/>
        <w:rPr>
          <w:sz w:val="26"/>
          <w:szCs w:val="26"/>
        </w:rPr>
      </w:pPr>
    </w:p>
    <w:p w14:paraId="636669EB" w14:textId="77777777" w:rsidR="00AA00B0" w:rsidRDefault="00AA00B0">
      <w:pPr>
        <w:pStyle w:val="a0"/>
        <w:widowControl/>
        <w:tabs>
          <w:tab w:val="left" w:pos="9639"/>
        </w:tabs>
        <w:jc w:val="both"/>
        <w:rPr>
          <w:sz w:val="26"/>
          <w:szCs w:val="26"/>
        </w:rPr>
      </w:pPr>
    </w:p>
    <w:p w14:paraId="6AFA444B" w14:textId="77777777" w:rsidR="00AA00B0" w:rsidRDefault="00AA00B0">
      <w:pPr>
        <w:pStyle w:val="a0"/>
        <w:widowControl/>
        <w:tabs>
          <w:tab w:val="left" w:pos="9639"/>
        </w:tabs>
        <w:jc w:val="both"/>
        <w:rPr>
          <w:sz w:val="26"/>
          <w:szCs w:val="26"/>
        </w:rPr>
      </w:pPr>
    </w:p>
    <w:p w14:paraId="1E1AEEFA" w14:textId="77777777" w:rsidR="00AA00B0" w:rsidRDefault="00000000">
      <w:pPr>
        <w:pStyle w:val="a0"/>
        <w:widowControl/>
        <w:tabs>
          <w:tab w:val="left" w:pos="9639"/>
        </w:tabs>
        <w:jc w:val="both"/>
      </w:pPr>
      <w:r>
        <w:rPr>
          <w:rStyle w:val="ac"/>
          <w:rFonts w:cs="Times New Roman"/>
          <w:bCs/>
          <w:sz w:val="18"/>
          <w:szCs w:val="18"/>
        </w:rPr>
        <w:t>КОВАЛЬОВ Валерій</w:t>
      </w:r>
    </w:p>
    <w:p w14:paraId="0A4EBEDF" w14:textId="77777777" w:rsidR="00AA00B0" w:rsidRDefault="00AA00B0">
      <w:pPr>
        <w:pStyle w:val="a0"/>
        <w:widowControl/>
        <w:tabs>
          <w:tab w:val="left" w:pos="9639"/>
        </w:tabs>
        <w:jc w:val="both"/>
        <w:rPr>
          <w:rFonts w:cs="Times New Roman"/>
          <w:sz w:val="16"/>
          <w:szCs w:val="16"/>
        </w:rPr>
      </w:pPr>
    </w:p>
    <w:p w14:paraId="09FD2085" w14:textId="77777777" w:rsidR="00AA00B0" w:rsidRDefault="00AA00B0">
      <w:pPr>
        <w:pStyle w:val="Standard"/>
        <w:jc w:val="both"/>
        <w:rPr>
          <w:rFonts w:cs="Times New Roman"/>
          <w:sz w:val="16"/>
          <w:szCs w:val="16"/>
        </w:rPr>
      </w:pPr>
    </w:p>
    <w:p w14:paraId="4ED547F0" w14:textId="77777777" w:rsidR="00AA00B0" w:rsidRDefault="00AA00B0">
      <w:pPr>
        <w:pStyle w:val="Standard"/>
        <w:jc w:val="both"/>
        <w:rPr>
          <w:rFonts w:cs="Times New Roman"/>
          <w:sz w:val="16"/>
          <w:szCs w:val="16"/>
        </w:rPr>
      </w:pPr>
    </w:p>
    <w:p w14:paraId="67358FD0" w14:textId="77777777" w:rsidR="00AA00B0" w:rsidRDefault="00AA00B0">
      <w:pPr>
        <w:pStyle w:val="Standard"/>
        <w:jc w:val="both"/>
      </w:pPr>
    </w:p>
    <w:sectPr w:rsidR="00AA00B0">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DC55" w14:textId="77777777" w:rsidR="00EA4F2A" w:rsidRDefault="00EA4F2A">
      <w:r>
        <w:separator/>
      </w:r>
    </w:p>
  </w:endnote>
  <w:endnote w:type="continuationSeparator" w:id="0">
    <w:p w14:paraId="4C8DA4F7" w14:textId="77777777" w:rsidR="00EA4F2A" w:rsidRDefault="00EA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57AE" w14:textId="77777777" w:rsidR="00EA4F2A" w:rsidRDefault="00EA4F2A">
      <w:r>
        <w:rPr>
          <w:color w:val="000000"/>
        </w:rPr>
        <w:separator/>
      </w:r>
    </w:p>
  </w:footnote>
  <w:footnote w:type="continuationSeparator" w:id="0">
    <w:p w14:paraId="32DDCC02" w14:textId="77777777" w:rsidR="00EA4F2A" w:rsidRDefault="00EA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3F25" w14:textId="77777777" w:rsidR="00000000" w:rsidRDefault="00000000">
    <w:pPr>
      <w:pStyle w:val="a9"/>
      <w:jc w:val="center"/>
    </w:pPr>
    <w:r>
      <w:rPr>
        <w:rStyle w:val="ac"/>
        <w:lang w:val="ru-RU"/>
      </w:rPr>
      <w:fldChar w:fldCharType="begin"/>
    </w:r>
    <w:r>
      <w:rPr>
        <w:rStyle w:val="ac"/>
        <w:lang w:val="ru-RU"/>
      </w:rPr>
      <w:instrText xml:space="preserve"> PAGE </w:instrText>
    </w:r>
    <w:r>
      <w:rPr>
        <w:rStyle w:val="ac"/>
        <w:lang w:val="ru-RU"/>
      </w:rPr>
      <w:fldChar w:fldCharType="separate"/>
    </w:r>
    <w:r>
      <w:rPr>
        <w:rStyle w:val="ac"/>
        <w:lang w:val="ru-RU"/>
      </w:rPr>
      <w:t>4</w:t>
    </w:r>
    <w:r>
      <w:rPr>
        <w:rStyle w:val="ac"/>
        <w:lang w:val="ru-RU"/>
      </w:rPr>
      <w:fldChar w:fldCharType="end"/>
    </w:r>
  </w:p>
  <w:p w14:paraId="255D1CE6"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88A"/>
    <w:multiLevelType w:val="multilevel"/>
    <w:tmpl w:val="270C50FC"/>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6615B9"/>
    <w:multiLevelType w:val="multilevel"/>
    <w:tmpl w:val="4300CDC6"/>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B4F02D8"/>
    <w:multiLevelType w:val="multilevel"/>
    <w:tmpl w:val="A022D952"/>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B993083"/>
    <w:multiLevelType w:val="multilevel"/>
    <w:tmpl w:val="8B4AF7DA"/>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002620A"/>
    <w:multiLevelType w:val="multilevel"/>
    <w:tmpl w:val="D86A1C56"/>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0860AE6"/>
    <w:multiLevelType w:val="multilevel"/>
    <w:tmpl w:val="86F6308C"/>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23F290D"/>
    <w:multiLevelType w:val="multilevel"/>
    <w:tmpl w:val="178467EA"/>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4506924"/>
    <w:multiLevelType w:val="multilevel"/>
    <w:tmpl w:val="91969C06"/>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8522710"/>
    <w:multiLevelType w:val="multilevel"/>
    <w:tmpl w:val="AB22DB4A"/>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5347316"/>
    <w:multiLevelType w:val="multilevel"/>
    <w:tmpl w:val="B4686F88"/>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774379D"/>
    <w:multiLevelType w:val="multilevel"/>
    <w:tmpl w:val="69567D6C"/>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7941AFA"/>
    <w:multiLevelType w:val="multilevel"/>
    <w:tmpl w:val="31F60B6E"/>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B14558C"/>
    <w:multiLevelType w:val="multilevel"/>
    <w:tmpl w:val="254E8ECA"/>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B301C68"/>
    <w:multiLevelType w:val="multilevel"/>
    <w:tmpl w:val="0CA0CDFC"/>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D16501D"/>
    <w:multiLevelType w:val="multilevel"/>
    <w:tmpl w:val="70923066"/>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DEF5EC8"/>
    <w:multiLevelType w:val="multilevel"/>
    <w:tmpl w:val="C388EBE6"/>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F2140BB"/>
    <w:multiLevelType w:val="multilevel"/>
    <w:tmpl w:val="E984EF42"/>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61A5018"/>
    <w:multiLevelType w:val="multilevel"/>
    <w:tmpl w:val="EC74AAF0"/>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79D4F3F"/>
    <w:multiLevelType w:val="multilevel"/>
    <w:tmpl w:val="C58AD4BA"/>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87E714C"/>
    <w:multiLevelType w:val="multilevel"/>
    <w:tmpl w:val="8E9EEBBC"/>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88A3D5B"/>
    <w:multiLevelType w:val="multilevel"/>
    <w:tmpl w:val="0E427694"/>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CB073E7"/>
    <w:multiLevelType w:val="multilevel"/>
    <w:tmpl w:val="76EEEA0C"/>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F2F2299"/>
    <w:multiLevelType w:val="multilevel"/>
    <w:tmpl w:val="F64681E4"/>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313001E"/>
    <w:multiLevelType w:val="multilevel"/>
    <w:tmpl w:val="3B5E09C6"/>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88C5930"/>
    <w:multiLevelType w:val="multilevel"/>
    <w:tmpl w:val="82D255CE"/>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152706A"/>
    <w:multiLevelType w:val="multilevel"/>
    <w:tmpl w:val="A6848986"/>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2084CB3"/>
    <w:multiLevelType w:val="multilevel"/>
    <w:tmpl w:val="57501812"/>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29F6688"/>
    <w:multiLevelType w:val="multilevel"/>
    <w:tmpl w:val="74EABA0C"/>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43C4BEB"/>
    <w:multiLevelType w:val="multilevel"/>
    <w:tmpl w:val="8EEEDB44"/>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81028B0"/>
    <w:multiLevelType w:val="multilevel"/>
    <w:tmpl w:val="58004D54"/>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90265F6"/>
    <w:multiLevelType w:val="multilevel"/>
    <w:tmpl w:val="C0B0D0A0"/>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3F73859"/>
    <w:multiLevelType w:val="multilevel"/>
    <w:tmpl w:val="D780E7DA"/>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A202714"/>
    <w:multiLevelType w:val="multilevel"/>
    <w:tmpl w:val="D52EFB34"/>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A74349E"/>
    <w:multiLevelType w:val="multilevel"/>
    <w:tmpl w:val="C40C9776"/>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4C04DAC"/>
    <w:multiLevelType w:val="multilevel"/>
    <w:tmpl w:val="ED8A8F00"/>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56A3AE3"/>
    <w:multiLevelType w:val="multilevel"/>
    <w:tmpl w:val="A70AD886"/>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A2F2487"/>
    <w:multiLevelType w:val="multilevel"/>
    <w:tmpl w:val="28F81D46"/>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A502EF0"/>
    <w:multiLevelType w:val="multilevel"/>
    <w:tmpl w:val="CBB6A24E"/>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D3D5496"/>
    <w:multiLevelType w:val="multilevel"/>
    <w:tmpl w:val="89EA4D8E"/>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DD92F0D"/>
    <w:multiLevelType w:val="multilevel"/>
    <w:tmpl w:val="9B06B054"/>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134784775">
    <w:abstractNumId w:val="3"/>
  </w:num>
  <w:num w:numId="2" w16cid:durableId="532113497">
    <w:abstractNumId w:val="12"/>
  </w:num>
  <w:num w:numId="3" w16cid:durableId="301665085">
    <w:abstractNumId w:val="37"/>
  </w:num>
  <w:num w:numId="4" w16cid:durableId="356320964">
    <w:abstractNumId w:val="30"/>
  </w:num>
  <w:num w:numId="5" w16cid:durableId="763644753">
    <w:abstractNumId w:val="24"/>
  </w:num>
  <w:num w:numId="6" w16cid:durableId="587932489">
    <w:abstractNumId w:val="16"/>
  </w:num>
  <w:num w:numId="7" w16cid:durableId="1456604984">
    <w:abstractNumId w:val="26"/>
  </w:num>
  <w:num w:numId="8" w16cid:durableId="539126513">
    <w:abstractNumId w:val="10"/>
  </w:num>
  <w:num w:numId="9" w16cid:durableId="1319460299">
    <w:abstractNumId w:val="32"/>
  </w:num>
  <w:num w:numId="10" w16cid:durableId="1349285676">
    <w:abstractNumId w:val="1"/>
  </w:num>
  <w:num w:numId="11" w16cid:durableId="1775595295">
    <w:abstractNumId w:val="6"/>
  </w:num>
  <w:num w:numId="12" w16cid:durableId="1857571625">
    <w:abstractNumId w:val="29"/>
  </w:num>
  <w:num w:numId="13" w16cid:durableId="448210905">
    <w:abstractNumId w:val="8"/>
  </w:num>
  <w:num w:numId="14" w16cid:durableId="373846885">
    <w:abstractNumId w:val="35"/>
  </w:num>
  <w:num w:numId="15" w16cid:durableId="2124108062">
    <w:abstractNumId w:val="11"/>
  </w:num>
  <w:num w:numId="16" w16cid:durableId="1063024365">
    <w:abstractNumId w:val="20"/>
  </w:num>
  <w:num w:numId="17" w16cid:durableId="1710956282">
    <w:abstractNumId w:val="13"/>
  </w:num>
  <w:num w:numId="18" w16cid:durableId="495457015">
    <w:abstractNumId w:val="7"/>
  </w:num>
  <w:num w:numId="19" w16cid:durableId="1113282755">
    <w:abstractNumId w:val="25"/>
  </w:num>
  <w:num w:numId="20" w16cid:durableId="447503790">
    <w:abstractNumId w:val="33"/>
  </w:num>
  <w:num w:numId="21" w16cid:durableId="1042054066">
    <w:abstractNumId w:val="18"/>
  </w:num>
  <w:num w:numId="22" w16cid:durableId="739641330">
    <w:abstractNumId w:val="9"/>
  </w:num>
  <w:num w:numId="23" w16cid:durableId="1206867402">
    <w:abstractNumId w:val="34"/>
  </w:num>
  <w:num w:numId="24" w16cid:durableId="776558789">
    <w:abstractNumId w:val="36"/>
  </w:num>
  <w:num w:numId="25" w16cid:durableId="99615653">
    <w:abstractNumId w:val="27"/>
  </w:num>
  <w:num w:numId="26" w16cid:durableId="1764261012">
    <w:abstractNumId w:val="2"/>
  </w:num>
  <w:num w:numId="27" w16cid:durableId="2055344981">
    <w:abstractNumId w:val="39"/>
  </w:num>
  <w:num w:numId="28" w16cid:durableId="667320204">
    <w:abstractNumId w:val="31"/>
  </w:num>
  <w:num w:numId="29" w16cid:durableId="1271470365">
    <w:abstractNumId w:val="38"/>
  </w:num>
  <w:num w:numId="30" w16cid:durableId="1848246473">
    <w:abstractNumId w:val="5"/>
  </w:num>
  <w:num w:numId="31" w16cid:durableId="1189830436">
    <w:abstractNumId w:val="22"/>
  </w:num>
  <w:num w:numId="32" w16cid:durableId="841941653">
    <w:abstractNumId w:val="21"/>
  </w:num>
  <w:num w:numId="33" w16cid:durableId="501236510">
    <w:abstractNumId w:val="19"/>
  </w:num>
  <w:num w:numId="34" w16cid:durableId="1255556024">
    <w:abstractNumId w:val="4"/>
  </w:num>
  <w:num w:numId="35" w16cid:durableId="400713060">
    <w:abstractNumId w:val="14"/>
  </w:num>
  <w:num w:numId="36" w16cid:durableId="412819566">
    <w:abstractNumId w:val="0"/>
  </w:num>
  <w:num w:numId="37" w16cid:durableId="517231055">
    <w:abstractNumId w:val="23"/>
  </w:num>
  <w:num w:numId="38" w16cid:durableId="1045761439">
    <w:abstractNumId w:val="15"/>
  </w:num>
  <w:num w:numId="39" w16cid:durableId="732503270">
    <w:abstractNumId w:val="17"/>
  </w:num>
  <w:num w:numId="40" w16cid:durableId="1009909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00B0"/>
    <w:rsid w:val="00372A24"/>
    <w:rsid w:val="00A962AD"/>
    <w:rsid w:val="00AA00B0"/>
    <w:rsid w:val="00EA4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39A6"/>
  <w15:docId w15:val="{DA27A21F-561E-43F6-A482-35B50256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character" w:customStyle="1" w:styleId="ac">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c"/>
    <w:rPr>
      <w:rFonts w:eastAsia="Times New Roman" w:cs="Times New Roman"/>
      <w:kern w:val="0"/>
      <w:sz w:val="28"/>
      <w:szCs w:val="20"/>
      <w:lang w:eastAsia="zh-CN"/>
    </w:rPr>
  </w:style>
  <w:style w:type="character" w:customStyle="1" w:styleId="ad">
    <w:name w:val="Основной текст Знак"/>
    <w:basedOn w:val="ac"/>
    <w:rPr>
      <w:rFonts w:eastAsia="Times New Roman" w:cs="Times New Roman"/>
      <w:b/>
      <w:kern w:val="0"/>
      <w:sz w:val="28"/>
      <w:szCs w:val="20"/>
      <w:lang w:eastAsia="zh-CN"/>
    </w:rPr>
  </w:style>
  <w:style w:type="character" w:customStyle="1" w:styleId="ae">
    <w:name w:val="Текст выноски Знак"/>
    <w:basedOn w:val="ac"/>
    <w:rPr>
      <w:rFonts w:ascii="Segoe UI" w:eastAsia="Segoe UI" w:hAnsi="Segoe UI" w:cs="Segoe UI"/>
      <w:sz w:val="18"/>
      <w:szCs w:val="18"/>
    </w:rPr>
  </w:style>
  <w:style w:type="character" w:customStyle="1" w:styleId="af">
    <w:name w:val="Верхний колонтитул Знак"/>
    <w:basedOn w:val="ac"/>
  </w:style>
  <w:style w:type="character" w:customStyle="1" w:styleId="af0">
    <w:name w:val="Нижний колонтитул Знак"/>
    <w:basedOn w:val="ac"/>
  </w:style>
  <w:style w:type="character" w:customStyle="1" w:styleId="211pt">
    <w:name w:val="Основной текст (2) + 11 pt"/>
    <w:basedOn w:val="ac"/>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1">
    <w:name w:val="Выделение"/>
    <w:rPr>
      <w:i/>
      <w:iCs/>
    </w:rPr>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7730</Words>
  <Characters>4407</Characters>
  <Application>Microsoft Office Word</Application>
  <DocSecurity>0</DocSecurity>
  <Lines>36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2025-07-10T12:38:00Z</dcterms:created>
  <dcterms:modified xsi:type="dcterms:W3CDTF">2025-07-10T12:38:00Z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