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72EB" w14:textId="77777777" w:rsidR="0045448B" w:rsidRDefault="00000000">
      <w:pPr>
        <w:pStyle w:val="Standard"/>
        <w:jc w:val="center"/>
      </w:pPr>
      <w:r>
        <w:rPr>
          <w:rStyle w:val="ad"/>
          <w:rFonts w:cs="Times New Roman"/>
          <w:b/>
          <w:sz w:val="28"/>
          <w:szCs w:val="28"/>
        </w:rPr>
        <w:t>З В І Т</w:t>
      </w:r>
    </w:p>
    <w:p w14:paraId="465E6482" w14:textId="77777777" w:rsidR="0045448B"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w:t>
      </w:r>
    </w:p>
    <w:p w14:paraId="2E429F7A" w14:textId="77777777" w:rsidR="0045448B" w:rsidRDefault="00000000">
      <w:pPr>
        <w:pStyle w:val="Standard"/>
        <w:jc w:val="center"/>
        <w:rPr>
          <w:rFonts w:cs="Times New Roman"/>
          <w:b/>
          <w:sz w:val="28"/>
          <w:szCs w:val="28"/>
        </w:rPr>
      </w:pPr>
      <w:r>
        <w:rPr>
          <w:rFonts w:cs="Times New Roman"/>
          <w:b/>
          <w:sz w:val="28"/>
          <w:szCs w:val="28"/>
        </w:rPr>
        <w:t>та виявлення корупції облдержадміністрації</w:t>
      </w:r>
    </w:p>
    <w:p w14:paraId="4CECD367" w14:textId="77777777" w:rsidR="0045448B" w:rsidRDefault="00000000">
      <w:pPr>
        <w:pStyle w:val="Standard"/>
        <w:jc w:val="center"/>
        <w:rPr>
          <w:rFonts w:cs="Times New Roman"/>
          <w:b/>
          <w:sz w:val="28"/>
          <w:szCs w:val="28"/>
        </w:rPr>
      </w:pPr>
      <w:r>
        <w:rPr>
          <w:rFonts w:cs="Times New Roman"/>
          <w:b/>
          <w:sz w:val="28"/>
          <w:szCs w:val="28"/>
        </w:rPr>
        <w:t>за 6 місяців 2023 року</w:t>
      </w:r>
    </w:p>
    <w:p w14:paraId="3476E638" w14:textId="77777777" w:rsidR="0045448B" w:rsidRDefault="0045448B">
      <w:pPr>
        <w:pStyle w:val="Standard"/>
        <w:jc w:val="center"/>
        <w:rPr>
          <w:rFonts w:cs="Times New Roman"/>
          <w:b/>
          <w:sz w:val="28"/>
          <w:szCs w:val="28"/>
        </w:rPr>
      </w:pPr>
    </w:p>
    <w:p w14:paraId="506AB6FA" w14:textId="77777777" w:rsidR="0045448B" w:rsidRDefault="0045448B">
      <w:pPr>
        <w:pStyle w:val="Standard"/>
        <w:jc w:val="center"/>
      </w:pPr>
    </w:p>
    <w:p w14:paraId="28FA7D59" w14:textId="77777777" w:rsidR="0045448B" w:rsidRDefault="00000000">
      <w:pPr>
        <w:pStyle w:val="Standard"/>
        <w:widowControl/>
        <w:tabs>
          <w:tab w:val="left" w:pos="709"/>
        </w:tabs>
        <w:autoSpaceDE w:val="0"/>
        <w:jc w:val="both"/>
      </w:pPr>
      <w:r>
        <w:rPr>
          <w:rStyle w:val="ad"/>
          <w:sz w:val="26"/>
          <w:szCs w:val="26"/>
        </w:rPr>
        <w:t xml:space="preserve"> </w:t>
      </w:r>
      <w:r>
        <w:rPr>
          <w:rStyle w:val="ad"/>
          <w:sz w:val="26"/>
          <w:szCs w:val="26"/>
        </w:rPr>
        <w:tab/>
        <w:t>Одним із основних завдань управління запобігання та виявлення корупції облдержадміністрації (далі – управління) є забезпечення ефективної реалізації державної політики у сфері запобігання та виявлення корупції у діяльності облдержадміністрації та її структурних підрозділів, а також забезпечення злагодженості та системності антикорупційних заходів.</w:t>
      </w:r>
    </w:p>
    <w:p w14:paraId="2CA781B8" w14:textId="77777777" w:rsidR="0045448B" w:rsidRDefault="00000000">
      <w:pPr>
        <w:pStyle w:val="Standard"/>
        <w:widowControl/>
        <w:ind w:firstLine="567"/>
        <w:jc w:val="both"/>
      </w:pPr>
      <w:r>
        <w:rPr>
          <w:rStyle w:val="ad"/>
          <w:sz w:val="26"/>
          <w:szCs w:val="26"/>
        </w:rPr>
        <w:tab/>
        <w:t>За результатами</w:t>
      </w:r>
      <w:r>
        <w:rPr>
          <w:rStyle w:val="ad"/>
          <w:rFonts w:eastAsia="SimSun" w:cs="Times New Roman"/>
          <w:color w:val="00000A"/>
          <w:sz w:val="26"/>
          <w:szCs w:val="26"/>
          <w:shd w:val="clear" w:color="auto" w:fill="FFFFFF"/>
          <w:lang w:eastAsia="zh-CN" w:bidi="hi-IN"/>
        </w:rPr>
        <w:t xml:space="preserve"> проведення ідентифікації та оцінки корупційних ризиків та виконання в 2022 році заходів, передбачених Антикорупційною програмою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від                 08.02.2021 № 103/5-21, погодженої рішенням Національного агентства з питань запобігання корупції (далі - НАЗК) від 11.03.2021 № 161/21,  управлінням</w:t>
      </w:r>
      <w:r>
        <w:rPr>
          <w:sz w:val="26"/>
          <w:szCs w:val="26"/>
        </w:rPr>
        <w:t xml:space="preserve"> було направлено </w:t>
      </w:r>
      <w:r>
        <w:rPr>
          <w:rStyle w:val="ad"/>
          <w:rFonts w:eastAsia="SimSun" w:cs="Times New Roman"/>
          <w:color w:val="00000A"/>
          <w:sz w:val="26"/>
          <w:szCs w:val="26"/>
          <w:shd w:val="clear" w:color="auto" w:fill="FFFFFF"/>
          <w:lang w:eastAsia="zh-CN" w:bidi="hi-IN"/>
        </w:rPr>
        <w:t xml:space="preserve">до </w:t>
      </w:r>
      <w:r>
        <w:rPr>
          <w:sz w:val="26"/>
          <w:szCs w:val="26"/>
        </w:rPr>
        <w:t xml:space="preserve">НАЗК інформацію від 20.01.2023 № 0.8/15-305/4-22, необхідну для підготовки </w:t>
      </w:r>
      <w:proofErr w:type="spellStart"/>
      <w:r>
        <w:rPr>
          <w:sz w:val="26"/>
          <w:szCs w:val="26"/>
        </w:rPr>
        <w:t>проєкту</w:t>
      </w:r>
      <w:proofErr w:type="spellEnd"/>
      <w:r>
        <w:rPr>
          <w:sz w:val="26"/>
          <w:szCs w:val="26"/>
        </w:rPr>
        <w:t xml:space="preserve"> щорічної національної доповіді щодо реалізації засад державної антикорупційної політики.</w:t>
      </w:r>
      <w:r>
        <w:rPr>
          <w:sz w:val="26"/>
          <w:szCs w:val="26"/>
        </w:rPr>
        <w:tab/>
      </w:r>
    </w:p>
    <w:p w14:paraId="31284723" w14:textId="77777777" w:rsidR="0045448B"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В січні поточного року керівники структурних підрозділів облдержадміністрації, відповідальні за виконання заходів Антикорупційної програми, надали до управління інформацію про виконання заходів програми за 2022 рік. Управлінням здійснено узагальнення наданої інформації та підготовлено відповідний звіт до НАЗК.</w:t>
      </w:r>
    </w:p>
    <w:p w14:paraId="713DD4A4" w14:textId="77777777" w:rsidR="0045448B" w:rsidRDefault="00000000">
      <w:pPr>
        <w:pStyle w:val="Standard"/>
        <w:widowControl/>
        <w:tabs>
          <w:tab w:val="left" w:pos="5100"/>
        </w:tabs>
        <w:jc w:val="both"/>
      </w:pPr>
      <w:r>
        <w:rPr>
          <w:rStyle w:val="cef1edeee2edeee9f8f0e8f4f2e0e1e7e0f6e0"/>
          <w:rFonts w:eastAsia="SimSun" w:cs="Times New Roman"/>
          <w:color w:val="00000A"/>
          <w:sz w:val="26"/>
          <w:szCs w:val="26"/>
          <w:shd w:val="clear" w:color="auto" w:fill="FFFFFF"/>
          <w:lang w:eastAsia="zh-CN" w:bidi="hi-IN"/>
        </w:rPr>
        <w:t xml:space="preserve">       Цей звіт на вимогу НАЗК був поданий управлінням через “Електронний кабінет уповноваженого” на Антикорупційному порталі НАЗК 06 лютого 2023 року, про що НАЗК було поінформовано листом від </w:t>
      </w:r>
      <w:r w:rsidRPr="00E11437">
        <w:rPr>
          <w:rStyle w:val="cef1edeee2edeee9f8f0e8f4f2e0e1e7e0f6e0"/>
          <w:rFonts w:eastAsia="SimSun" w:cs="Times New Roman"/>
          <w:color w:val="00000A"/>
          <w:sz w:val="26"/>
          <w:szCs w:val="26"/>
          <w:shd w:val="clear" w:color="auto" w:fill="FFFFFF"/>
          <w:lang w:val="ru-RU" w:eastAsia="zh-CN" w:bidi="hi-IN"/>
        </w:rPr>
        <w:t>08.02.2023</w:t>
      </w:r>
      <w:r>
        <w:rPr>
          <w:rStyle w:val="cef1edeee2edeee9f8f0e8f4f2e0e1e7e0f6e0"/>
          <w:rFonts w:eastAsia="SimSun" w:cs="Times New Roman"/>
          <w:color w:val="00000A"/>
          <w:sz w:val="26"/>
          <w:szCs w:val="26"/>
          <w:shd w:val="clear" w:color="auto" w:fill="FFFFFF"/>
          <w:lang w:eastAsia="zh-CN" w:bidi="hi-IN"/>
        </w:rPr>
        <w:t xml:space="preserve"> № </w:t>
      </w:r>
      <w:r w:rsidRPr="00E11437">
        <w:rPr>
          <w:rStyle w:val="cef1edeee2edeee9f8f0e8f4f2e0e1e7e0f6e0"/>
          <w:rFonts w:eastAsia="SimSun" w:cs="Times New Roman"/>
          <w:color w:val="00000A"/>
          <w:sz w:val="26"/>
          <w:szCs w:val="26"/>
          <w:shd w:val="clear" w:color="auto" w:fill="FFFFFF"/>
          <w:lang w:val="ru-RU" w:eastAsia="zh-CN" w:bidi="hi-IN"/>
        </w:rPr>
        <w:t>2/0/347-23.</w:t>
      </w:r>
    </w:p>
    <w:p w14:paraId="6C1389FE" w14:textId="77777777" w:rsidR="0045448B" w:rsidRDefault="00000000">
      <w:pPr>
        <w:pStyle w:val="Standard"/>
        <w:widowControl/>
        <w:tabs>
          <w:tab w:val="left" w:pos="709"/>
          <w:tab w:val="left" w:pos="900"/>
          <w:tab w:val="left" w:pos="1200"/>
          <w:tab w:val="left" w:pos="10155"/>
        </w:tabs>
        <w:autoSpaceDE w:val="0"/>
        <w:ind w:firstLine="567"/>
        <w:jc w:val="both"/>
      </w:pPr>
      <w:r>
        <w:rPr>
          <w:rStyle w:val="ad"/>
          <w:sz w:val="26"/>
          <w:szCs w:val="26"/>
        </w:rPr>
        <w:t xml:space="preserve">Управлінням з метою здійснення заходів Антикорупційної програми по запобіганню та врегулюванню конфлікту інтересів розроблено </w:t>
      </w:r>
      <w:proofErr w:type="spellStart"/>
      <w:r>
        <w:rPr>
          <w:rStyle w:val="ad"/>
          <w:sz w:val="26"/>
          <w:szCs w:val="26"/>
        </w:rPr>
        <w:t>проєкт</w:t>
      </w:r>
      <w:proofErr w:type="spellEnd"/>
      <w:r>
        <w:rPr>
          <w:rStyle w:val="ad"/>
          <w:sz w:val="26"/>
          <w:szCs w:val="26"/>
        </w:rPr>
        <w:t xml:space="preserve"> розпорядження голови облдержадміністрації, начальника обласної військової адміністрації від 16.03.2023 № 98/5-23</w:t>
      </w:r>
      <w:bookmarkStart w:id="0" w:name="_GoBack"/>
      <w:bookmarkEnd w:id="0"/>
      <w:r>
        <w:rPr>
          <w:rStyle w:val="ad"/>
          <w:sz w:val="26"/>
          <w:szCs w:val="26"/>
        </w:rPr>
        <w:t xml:space="preserve"> “Про затвердження Порядку запобігання та врегулювання конфлікту інтересів у Донецькій обласній державній адміністрації, обласній військовій адміністрації”.</w:t>
      </w:r>
    </w:p>
    <w:p w14:paraId="44A1BD33" w14:textId="77777777" w:rsidR="0045448B" w:rsidRDefault="00000000">
      <w:pPr>
        <w:pStyle w:val="Standard"/>
        <w:widowControl/>
        <w:tabs>
          <w:tab w:val="left" w:pos="390"/>
        </w:tabs>
        <w:autoSpaceDE w:val="0"/>
        <w:jc w:val="both"/>
      </w:pPr>
      <w:r>
        <w:rPr>
          <w:rStyle w:val="ad"/>
          <w:sz w:val="26"/>
          <w:szCs w:val="26"/>
        </w:rPr>
        <w:tab/>
      </w:r>
      <w:r>
        <w:rPr>
          <w:rStyle w:val="ad"/>
          <w:color w:val="FF0000"/>
          <w:sz w:val="26"/>
          <w:szCs w:val="26"/>
        </w:rPr>
        <w:t xml:space="preserve">  </w:t>
      </w:r>
      <w:r>
        <w:rPr>
          <w:rStyle w:val="ad"/>
          <w:sz w:val="26"/>
          <w:szCs w:val="26"/>
        </w:rPr>
        <w:t xml:space="preserve">На виконання заходів Антикорупційної програми та згідно з Методологією управління корупційними ризиками, затвердженої наказом НАЗК від 28.12.2021                 № 830 (далі - Методологія), управлінням було розроблено </w:t>
      </w:r>
      <w:proofErr w:type="spellStart"/>
      <w:r>
        <w:rPr>
          <w:rStyle w:val="ad"/>
          <w:sz w:val="26"/>
          <w:szCs w:val="26"/>
        </w:rPr>
        <w:t>проєкт</w:t>
      </w:r>
      <w:proofErr w:type="spellEnd"/>
      <w:r>
        <w:rPr>
          <w:rStyle w:val="ad"/>
          <w:sz w:val="26"/>
          <w:szCs w:val="26"/>
        </w:rPr>
        <w:t xml:space="preserve"> розпорядження голови облдержадміністрації, начальника обласної військової адміністрації від 01.02.2023 № 43/5-23 “Про проведення оцінювання корупційних ризиків”.</w:t>
      </w:r>
    </w:p>
    <w:p w14:paraId="0BE424F9" w14:textId="77777777" w:rsidR="0045448B" w:rsidRDefault="00000000">
      <w:pPr>
        <w:pStyle w:val="Standard"/>
        <w:widowControl/>
        <w:tabs>
          <w:tab w:val="left" w:pos="390"/>
        </w:tabs>
        <w:autoSpaceDE w:val="0"/>
        <w:jc w:val="both"/>
      </w:pPr>
      <w:r>
        <w:rPr>
          <w:rStyle w:val="ad"/>
          <w:sz w:val="26"/>
          <w:szCs w:val="26"/>
        </w:rPr>
        <w:tab/>
        <w:t xml:space="preserve">  На виконання цього розпорядження було розроблено </w:t>
      </w:r>
      <w:proofErr w:type="spellStart"/>
      <w:r>
        <w:rPr>
          <w:rStyle w:val="ad"/>
          <w:sz w:val="26"/>
          <w:szCs w:val="26"/>
        </w:rPr>
        <w:t>проєкт</w:t>
      </w:r>
      <w:proofErr w:type="spellEnd"/>
      <w:r>
        <w:rPr>
          <w:rStyle w:val="ad"/>
          <w:sz w:val="26"/>
          <w:szCs w:val="26"/>
        </w:rPr>
        <w:t xml:space="preserve">  розпорядження голови облдержадміністрації, начальника обласної військової адміністрації від 06.04.2023 № 127/5-23 “Про утворення робочої групи з оцінювання корупційних ризиків у діяльності облдержадміністрації та її структурних підрозділів”, сформовано склад робочої групи та затверджено Положення про неї.</w:t>
      </w:r>
    </w:p>
    <w:p w14:paraId="4A6B16F5"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t xml:space="preserve">Згідно з Методологією та з метою підготовки членів робочої групи </w:t>
      </w:r>
      <w:r>
        <w:rPr>
          <w:rStyle w:val="ad"/>
          <w:rFonts w:eastAsia="Calibri" w:cs="Times New Roman"/>
          <w:color w:val="00000A"/>
          <w:sz w:val="26"/>
          <w:szCs w:val="26"/>
          <w:lang w:eastAsia="en-US"/>
        </w:rPr>
        <w:t xml:space="preserve">з оцінювання корупційних ризиків у діяльності облдержадміністрації та її структурних підрозділів (далі — Робоча група) </w:t>
      </w:r>
      <w:r>
        <w:rPr>
          <w:rStyle w:val="cef1edeee2edeee9f8f0e8f4f2e0e1e7e0f6e0"/>
          <w:rFonts w:eastAsia="Calibri" w:cs="Times New Roman"/>
          <w:color w:val="00000A"/>
          <w:sz w:val="26"/>
          <w:szCs w:val="26"/>
          <w:lang w:eastAsia="en-US"/>
        </w:rPr>
        <w:t xml:space="preserve">до процесу оцінювання корупційних ризиків, управлінням 13.04.2023 було проведено вступний тренінг-навчання для членів робочої групи за темою “Вивчення Методології  управління корупційними ризиками”. Тренінг-навчання було проведено в онлайн-форматі з використанням сервісу </w:t>
      </w:r>
      <w:proofErr w:type="spellStart"/>
      <w:r>
        <w:rPr>
          <w:rStyle w:val="cef1edeee2edeee9f8f0e8f4f2e0e1e7e0f6e0"/>
          <w:rFonts w:eastAsia="Calibri" w:cs="Times New Roman"/>
          <w:color w:val="00000A"/>
          <w:sz w:val="26"/>
          <w:szCs w:val="26"/>
          <w:lang w:eastAsia="en-US"/>
        </w:rPr>
        <w:t>відеотелефонного</w:t>
      </w:r>
      <w:proofErr w:type="spellEnd"/>
      <w:r>
        <w:rPr>
          <w:rStyle w:val="cef1edeee2edeee9f8f0e8f4f2e0e1e7e0f6e0"/>
          <w:rFonts w:eastAsia="Calibri" w:cs="Times New Roman"/>
          <w:color w:val="00000A"/>
          <w:sz w:val="26"/>
          <w:szCs w:val="26"/>
          <w:lang w:eastAsia="en-US"/>
        </w:rPr>
        <w:t xml:space="preserve"> зв’язку “</w:t>
      </w:r>
      <w:proofErr w:type="spellStart"/>
      <w:r>
        <w:rPr>
          <w:rStyle w:val="cef1edeee2edeee9f8f0e8f4f2e0e1e7e0f6e0"/>
          <w:rFonts w:eastAsia="Calibri" w:cs="Times New Roman"/>
          <w:color w:val="00000A"/>
          <w:sz w:val="26"/>
          <w:szCs w:val="26"/>
          <w:lang w:eastAsia="en-US"/>
        </w:rPr>
        <w:t>Google</w:t>
      </w:r>
      <w:proofErr w:type="spellEnd"/>
      <w:r>
        <w:rPr>
          <w:rStyle w:val="cef1edeee2edeee9f8f0e8f4f2e0e1e7e0f6e0"/>
          <w:rFonts w:eastAsia="Calibri" w:cs="Times New Roman"/>
          <w:color w:val="00000A"/>
          <w:sz w:val="26"/>
          <w:szCs w:val="26"/>
          <w:lang w:eastAsia="en-US"/>
        </w:rPr>
        <w:t xml:space="preserve"> </w:t>
      </w:r>
      <w:proofErr w:type="spellStart"/>
      <w:r>
        <w:rPr>
          <w:rStyle w:val="cef1edeee2edeee9f8f0e8f4f2e0e1e7e0f6e0"/>
          <w:rFonts w:eastAsia="Calibri" w:cs="Times New Roman"/>
          <w:color w:val="00000A"/>
          <w:sz w:val="26"/>
          <w:szCs w:val="26"/>
          <w:lang w:eastAsia="en-US"/>
        </w:rPr>
        <w:t>Meet</w:t>
      </w:r>
      <w:proofErr w:type="spellEnd"/>
      <w:r>
        <w:rPr>
          <w:rStyle w:val="cef1edeee2edeee9f8f0e8f4f2e0e1e7e0f6e0"/>
          <w:rFonts w:eastAsia="Calibri" w:cs="Times New Roman"/>
          <w:color w:val="00000A"/>
          <w:sz w:val="26"/>
          <w:szCs w:val="26"/>
          <w:lang w:eastAsia="en-US"/>
        </w:rPr>
        <w:t>”.</w:t>
      </w:r>
    </w:p>
    <w:p w14:paraId="095C9F2E"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lastRenderedPageBreak/>
        <w:t xml:space="preserve">27.04.2023 головою Робочої групи було затверджено План оцінювання корупційних ризиків та підготовки Антикорупційної програми Донецької облдержадміністрації на 2024-2026 роки, який складається с таких розділів: </w:t>
      </w:r>
      <w:r>
        <w:rPr>
          <w:rStyle w:val="cef1edeee2edeee9f8f0e8f4f2e0e1e7e0f6e0"/>
          <w:rFonts w:eastAsia="Calibri" w:cs="Times New Roman"/>
          <w:color w:val="00000A"/>
          <w:sz w:val="26"/>
          <w:szCs w:val="26"/>
          <w:lang w:eastAsia="en-US"/>
        </w:rPr>
        <w:tab/>
      </w:r>
    </w:p>
    <w:p w14:paraId="415369F3"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t>- дослідження середовища облдержадміністрації та визначення обсягу оцінювання корупційних ризиків;</w:t>
      </w:r>
    </w:p>
    <w:p w14:paraId="381458A2"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t>-  ідентифікація, аналіз, визначення рівнів корупційних ризиків;</w:t>
      </w:r>
    </w:p>
    <w:p w14:paraId="7F991205"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t xml:space="preserve">- підготовка </w:t>
      </w:r>
      <w:proofErr w:type="spellStart"/>
      <w:r>
        <w:rPr>
          <w:rStyle w:val="cef1edeee2edeee9f8f0e8f4f2e0e1e7e0f6e0"/>
          <w:rFonts w:eastAsia="Calibri" w:cs="Times New Roman"/>
          <w:color w:val="00000A"/>
          <w:sz w:val="26"/>
          <w:szCs w:val="26"/>
          <w:lang w:eastAsia="en-US"/>
        </w:rPr>
        <w:t>проєкту</w:t>
      </w:r>
      <w:proofErr w:type="spellEnd"/>
      <w:r>
        <w:rPr>
          <w:rStyle w:val="cef1edeee2edeee9f8f0e8f4f2e0e1e7e0f6e0"/>
          <w:rFonts w:eastAsia="Calibri" w:cs="Times New Roman"/>
          <w:color w:val="00000A"/>
          <w:sz w:val="26"/>
          <w:szCs w:val="26"/>
          <w:lang w:eastAsia="en-US"/>
        </w:rPr>
        <w:t xml:space="preserve"> Антикорупційної програми</w:t>
      </w:r>
      <w:bookmarkStart w:id="1" w:name="__DdeLink__526_2540118237"/>
      <w:r>
        <w:rPr>
          <w:rStyle w:val="cef1edeee2edeee9f8f0e8f4f2e0e1e7e0f6e0"/>
          <w:rFonts w:eastAsia="Calibri" w:cs="Times New Roman"/>
          <w:color w:val="00000A"/>
          <w:sz w:val="26"/>
          <w:szCs w:val="26"/>
          <w:lang w:eastAsia="en-US"/>
        </w:rPr>
        <w:t xml:space="preserve"> </w:t>
      </w:r>
      <w:bookmarkEnd w:id="1"/>
      <w:r>
        <w:rPr>
          <w:rStyle w:val="cef1edeee2edeee9f8f0e8f4f2e0e1e7e0f6e0"/>
          <w:rFonts w:eastAsia="Calibri" w:cs="Times New Roman"/>
          <w:color w:val="00000A"/>
          <w:sz w:val="26"/>
          <w:szCs w:val="26"/>
          <w:lang w:eastAsia="en-US"/>
        </w:rPr>
        <w:t>Донецької облдержадміністрації на 2024-2026 роки.</w:t>
      </w:r>
    </w:p>
    <w:p w14:paraId="2E553B7C" w14:textId="77777777" w:rsidR="0045448B" w:rsidRDefault="00000000">
      <w:pPr>
        <w:pStyle w:val="Standard"/>
        <w:ind w:firstLine="709"/>
        <w:jc w:val="both"/>
      </w:pPr>
      <w:r>
        <w:rPr>
          <w:rStyle w:val="cef1edeee2edeee9f8f0e8f4f2e0e1e7e0f6e0"/>
          <w:rFonts w:eastAsia="Calibri" w:cs="Times New Roman"/>
          <w:color w:val="00000A"/>
          <w:sz w:val="26"/>
          <w:szCs w:val="26"/>
          <w:lang w:eastAsia="en-US"/>
        </w:rPr>
        <w:t xml:space="preserve">В рамках реалізації заходів вказаного Плану </w:t>
      </w:r>
      <w:r>
        <w:rPr>
          <w:rStyle w:val="cef1edeee2edeee9f8f0e8f4f2e0e1e7e0f6e0"/>
          <w:rFonts w:eastAsia="Times New Roman" w:cs="Times New Roman"/>
          <w:color w:val="00000A"/>
          <w:sz w:val="26"/>
          <w:szCs w:val="26"/>
          <w:lang w:eastAsia="ru-RU"/>
        </w:rPr>
        <w:t xml:space="preserve">та з метою дослідження середовища облдержадміністрації, визначення об’єму  оцінювання корупційних ризиків </w:t>
      </w:r>
      <w:r>
        <w:rPr>
          <w:rStyle w:val="cef1edeee2edeee9f8f0e8f4f2e0e1e7e0f6e0"/>
          <w:rFonts w:eastAsia="Calibri" w:cs="Times New Roman"/>
          <w:color w:val="00000A"/>
          <w:sz w:val="26"/>
          <w:szCs w:val="26"/>
          <w:lang w:eastAsia="en-US"/>
        </w:rPr>
        <w:t xml:space="preserve">управлінням в червні </w:t>
      </w:r>
      <w:proofErr w:type="spellStart"/>
      <w:r>
        <w:rPr>
          <w:rStyle w:val="cef1edeee2edeee9f8f0e8f4f2e0e1e7e0f6e0"/>
          <w:rFonts w:eastAsia="Calibri" w:cs="Times New Roman"/>
          <w:color w:val="00000A"/>
          <w:sz w:val="26"/>
          <w:szCs w:val="26"/>
          <w:lang w:eastAsia="en-US"/>
        </w:rPr>
        <w:t>п.р</w:t>
      </w:r>
      <w:proofErr w:type="spellEnd"/>
      <w:r>
        <w:rPr>
          <w:rStyle w:val="cef1edeee2edeee9f8f0e8f4f2e0e1e7e0f6e0"/>
          <w:rFonts w:eastAsia="Calibri" w:cs="Times New Roman"/>
          <w:color w:val="00000A"/>
          <w:sz w:val="26"/>
          <w:szCs w:val="26"/>
          <w:lang w:eastAsia="en-US"/>
        </w:rPr>
        <w:t>. було проведено</w:t>
      </w:r>
      <w:r>
        <w:rPr>
          <w:rStyle w:val="cef1edeee2edeee9f8f0e8f4f2e0e1e7e0f6e0"/>
          <w:rFonts w:eastAsia="Times New Roman" w:cs="Times New Roman"/>
          <w:color w:val="00000A"/>
          <w:sz w:val="26"/>
          <w:szCs w:val="26"/>
          <w:lang w:eastAsia="ru-RU"/>
        </w:rPr>
        <w:t xml:space="preserve"> </w:t>
      </w:r>
      <w:r>
        <w:rPr>
          <w:rStyle w:val="ad"/>
          <w:rFonts w:eastAsia="Times New Roman" w:cs="Times New Roman"/>
          <w:color w:val="00000A"/>
          <w:sz w:val="26"/>
          <w:szCs w:val="26"/>
          <w:lang w:eastAsia="en-US"/>
        </w:rPr>
        <w:t xml:space="preserve"> анонімне опитування (анкетування) працівників облдержадміністрації. По результатах складено відповідну аналітичну довідку, яка буде розглянута на черговому засіданні Робочої групи.</w:t>
      </w:r>
    </w:p>
    <w:p w14:paraId="16D7CCA8" w14:textId="77777777" w:rsidR="0045448B" w:rsidRDefault="00000000">
      <w:pPr>
        <w:pStyle w:val="Standard"/>
        <w:tabs>
          <w:tab w:val="left" w:pos="709"/>
          <w:tab w:val="left" w:pos="900"/>
          <w:tab w:val="left" w:pos="1200"/>
          <w:tab w:val="left" w:pos="10155"/>
        </w:tabs>
        <w:jc w:val="both"/>
      </w:pPr>
      <w:r>
        <w:rPr>
          <w:rStyle w:val="cef1edeee2edeee9f8f0e8f4f2e0e1e7e0f6e0"/>
          <w:rFonts w:eastAsia="Calibri" w:cs="Times New Roman"/>
          <w:color w:val="00000A"/>
          <w:sz w:val="26"/>
          <w:szCs w:val="26"/>
          <w:lang w:eastAsia="en-US"/>
        </w:rPr>
        <w:tab/>
      </w:r>
      <w:r>
        <w:rPr>
          <w:sz w:val="26"/>
          <w:szCs w:val="26"/>
        </w:rPr>
        <w:t>На офіційному сайті облдержадміністрації постійно ведеться рубрика «Запобігання та виявлення корупції», де висвітлюється інформація, яка стосується діяльності з питань запобігання та виявлення корупції в облдержадміністрації, а саме - про результати проведених цільових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висвітлюється робота робочої групи з оцінки корупційних ризиків у діяльності облдержадміністрації та її структурних підрозділів тощо. Також систематично висвітлюється інформація стосовно виконання заходів Антикорупційної програми, моніторингу її виконання.</w:t>
      </w:r>
    </w:p>
    <w:p w14:paraId="6FD2FCE1" w14:textId="77777777" w:rsidR="0045448B"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Управлінням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 На офіційному сайті облдержадміністрації забезпечено ведення рубрики «Повідом про корупцію».</w:t>
      </w:r>
    </w:p>
    <w:p w14:paraId="0C3C3841" w14:textId="77777777" w:rsidR="0045448B" w:rsidRDefault="00000000">
      <w:pPr>
        <w:pStyle w:val="Standard"/>
        <w:tabs>
          <w:tab w:val="left" w:pos="709"/>
          <w:tab w:val="left" w:pos="900"/>
          <w:tab w:val="left" w:pos="1200"/>
          <w:tab w:val="left" w:pos="10155"/>
        </w:tabs>
        <w:ind w:firstLine="567"/>
        <w:jc w:val="both"/>
      </w:pPr>
      <w:r>
        <w:rPr>
          <w:sz w:val="26"/>
          <w:szCs w:val="26"/>
        </w:rPr>
        <w:t xml:space="preserve"> </w:t>
      </w:r>
      <w:r>
        <w:rPr>
          <w:rStyle w:val="ad"/>
          <w:sz w:val="26"/>
          <w:szCs w:val="26"/>
        </w:rPr>
        <w:t xml:space="preserve">Управлінням систематично надається методична та консультативна допомога </w:t>
      </w:r>
      <w:r>
        <w:rPr>
          <w:rStyle w:val="ad"/>
          <w:bCs/>
          <w:sz w:val="26"/>
          <w:szCs w:val="26"/>
        </w:rPr>
        <w:t xml:space="preserve">працівникам апарату облдержадміністрації та її структурних підрозділів </w:t>
      </w:r>
      <w:r>
        <w:rPr>
          <w:rStyle w:val="ad"/>
          <w:sz w:val="26"/>
          <w:szCs w:val="26"/>
        </w:rPr>
        <w:t>з питань додержання законодавства щодо запобігання і протидії корупції, захисту прав викривачів.</w:t>
      </w:r>
    </w:p>
    <w:p w14:paraId="7D46DA78" w14:textId="77777777" w:rsidR="0045448B" w:rsidRDefault="00000000">
      <w:pPr>
        <w:pStyle w:val="Standard"/>
        <w:tabs>
          <w:tab w:val="left" w:pos="0"/>
          <w:tab w:val="left" w:pos="10155"/>
        </w:tabs>
        <w:ind w:firstLine="567"/>
        <w:jc w:val="both"/>
      </w:pPr>
      <w:r>
        <w:rPr>
          <w:sz w:val="26"/>
          <w:szCs w:val="26"/>
        </w:rPr>
        <w:t xml:space="preserve">Систематично здійснюються навчальні заходи з питань дотримання вимог антикорупційного  законодавства. Управлінням розроблено та затверджено керівництвом облдержадміністрації </w:t>
      </w:r>
      <w:r>
        <w:rPr>
          <w:rStyle w:val="ad"/>
          <w:rFonts w:eastAsia="Times New Roman" w:cs="Times New Roman"/>
          <w:kern w:val="0"/>
          <w:sz w:val="26"/>
          <w:szCs w:val="26"/>
          <w:lang w:eastAsia="en-US"/>
        </w:rPr>
        <w:t xml:space="preserve">План-графік </w:t>
      </w:r>
      <w:r>
        <w:rPr>
          <w:rFonts w:eastAsia="Times New Roman" w:cs="Times New Roman"/>
          <w:kern w:val="0"/>
          <w:sz w:val="26"/>
          <w:szCs w:val="26"/>
          <w:lang w:eastAsia="en-US"/>
        </w:rPr>
        <w:t xml:space="preserve"> проведення навчальних заходів з питань дотримання вимог антикорупційного </w:t>
      </w:r>
      <w:r>
        <w:rPr>
          <w:rStyle w:val="ad"/>
          <w:rFonts w:eastAsia="Times New Roman" w:cs="Times New Roman"/>
          <w:kern w:val="0"/>
          <w:sz w:val="26"/>
          <w:szCs w:val="26"/>
          <w:lang w:eastAsia="en-US"/>
        </w:rPr>
        <w:t xml:space="preserve">  законодавства в Донецькій обласній державній адміністрації на 2023 рік.</w:t>
      </w:r>
    </w:p>
    <w:p w14:paraId="22382B07" w14:textId="77777777" w:rsidR="0045448B" w:rsidRDefault="00000000">
      <w:pPr>
        <w:pStyle w:val="a4"/>
        <w:tabs>
          <w:tab w:val="left" w:pos="0"/>
        </w:tabs>
        <w:jc w:val="both"/>
        <w:rPr>
          <w:rFonts w:hint="eastAsia"/>
        </w:rPr>
      </w:pPr>
      <w:r>
        <w:rPr>
          <w:rStyle w:val="ad"/>
          <w:rFonts w:ascii="Times New Roman" w:hAnsi="Times New Roman" w:cs="Times New Roman"/>
          <w:sz w:val="26"/>
          <w:szCs w:val="26"/>
        </w:rPr>
        <w:tab/>
      </w:r>
      <w:r>
        <w:rPr>
          <w:rStyle w:val="ad"/>
          <w:rFonts w:ascii="Times New Roman" w:hAnsi="Times New Roman" w:cs="Times New Roman"/>
          <w:color w:val="auto"/>
          <w:sz w:val="26"/>
          <w:szCs w:val="26"/>
        </w:rPr>
        <w:t>Згідно Указу Президента від 24  лютого 2022 року № 64/2022 «Про введення воєнного стану в Україні», листа НАЗК від 21 березня 2022 року № 20-13/10165-22 управлінням на  період  дії  правового  режиму  воєнного  стану (не вбачається можливим) обмежено виконання окремих функцій та завдань, зокрема проведення внутрішніх навчань.</w:t>
      </w:r>
    </w:p>
    <w:p w14:paraId="5FD761B7" w14:textId="77777777" w:rsidR="0045448B" w:rsidRDefault="00000000">
      <w:pPr>
        <w:pStyle w:val="a4"/>
        <w:tabs>
          <w:tab w:val="left" w:pos="0"/>
        </w:tabs>
        <w:ind w:firstLine="567"/>
        <w:jc w:val="both"/>
        <w:rPr>
          <w:rFonts w:hint="eastAsia"/>
        </w:rPr>
      </w:pPr>
      <w:r>
        <w:rPr>
          <w:rFonts w:ascii="Times New Roman" w:hAnsi="Times New Roman" w:cs="Times New Roman"/>
          <w:color w:val="auto"/>
          <w:sz w:val="26"/>
          <w:szCs w:val="26"/>
        </w:rPr>
        <w:t>Разом з тим, управлінням ініційовано розроблення методичних рекомендацій за Планом-графіком проведення навчальних заходів. З</w:t>
      </w:r>
      <w:r>
        <w:rPr>
          <w:rStyle w:val="ad"/>
          <w:rFonts w:ascii="Times New Roman" w:eastAsia="Times New Roman" w:hAnsi="Times New Roman" w:cs="Times New Roman"/>
          <w:kern w:val="0"/>
          <w:sz w:val="26"/>
          <w:szCs w:val="26"/>
          <w:lang w:eastAsia="en-US"/>
        </w:rPr>
        <w:t xml:space="preserve"> метою підвищення рівня знань антикорупційного законодавства методичні рекомендації розробляються за встановленою тематикою та потім направляються до структурних підрозділів облдержадміністрації, структурних підрозділів апарату облдержадміністрації для ознайомлення з ними їх працівників.</w:t>
      </w:r>
    </w:p>
    <w:p w14:paraId="64CC8FD5" w14:textId="77777777" w:rsidR="0045448B" w:rsidRDefault="00000000">
      <w:pPr>
        <w:pStyle w:val="a4"/>
        <w:tabs>
          <w:tab w:val="left" w:pos="0"/>
        </w:tabs>
        <w:ind w:firstLine="567"/>
        <w:jc w:val="both"/>
        <w:rPr>
          <w:rFonts w:hint="eastAsia"/>
        </w:rPr>
      </w:pPr>
      <w:r>
        <w:rPr>
          <w:rStyle w:val="ad"/>
          <w:rFonts w:ascii="Times New Roman" w:eastAsia="Times New Roman" w:hAnsi="Times New Roman" w:cs="Times New Roman"/>
          <w:kern w:val="0"/>
          <w:sz w:val="26"/>
          <w:szCs w:val="26"/>
          <w:lang w:eastAsia="en-US"/>
        </w:rPr>
        <w:lastRenderedPageBreak/>
        <w:t>З початку року управлінням були розроблені та направлені такі методичні рекомендації:</w:t>
      </w:r>
    </w:p>
    <w:p w14:paraId="16B6BCDE" w14:textId="77777777" w:rsidR="0045448B" w:rsidRDefault="00000000">
      <w:pPr>
        <w:pStyle w:val="Standard"/>
        <w:ind w:firstLine="709"/>
        <w:jc w:val="both"/>
        <w:rPr>
          <w:sz w:val="26"/>
          <w:szCs w:val="26"/>
        </w:rPr>
      </w:pPr>
      <w:r>
        <w:rPr>
          <w:sz w:val="26"/>
          <w:szCs w:val="26"/>
        </w:rPr>
        <w:t>31.01.2023 за № 12/0/245-23 за темою «Фінансовий контроль та особливості декларування в умовах воєнного стану»;</w:t>
      </w:r>
    </w:p>
    <w:p w14:paraId="7B7845FE" w14:textId="77777777" w:rsidR="0045448B" w:rsidRDefault="00000000">
      <w:pPr>
        <w:pStyle w:val="Standard"/>
        <w:tabs>
          <w:tab w:val="left" w:pos="0"/>
        </w:tabs>
        <w:ind w:firstLine="709"/>
        <w:jc w:val="both"/>
      </w:pPr>
      <w:r>
        <w:rPr>
          <w:rStyle w:val="ad"/>
          <w:rFonts w:eastAsia="Times New Roman" w:cs="Times New Roman"/>
          <w:kern w:val="0"/>
          <w:sz w:val="26"/>
          <w:szCs w:val="26"/>
          <w:lang w:eastAsia="en-US"/>
        </w:rPr>
        <w:t>28.02.2023 за № 25/0/245-23 за темою «Деякі особливості декларування в умовах воєнного стану».</w:t>
      </w:r>
    </w:p>
    <w:p w14:paraId="50222E10" w14:textId="77777777" w:rsidR="0045448B" w:rsidRDefault="00000000">
      <w:pPr>
        <w:pStyle w:val="ac"/>
        <w:snapToGrid w:val="0"/>
        <w:ind w:firstLine="709"/>
        <w:jc w:val="both"/>
        <w:rPr>
          <w:sz w:val="26"/>
          <w:szCs w:val="26"/>
        </w:rPr>
      </w:pPr>
      <w:r>
        <w:rPr>
          <w:sz w:val="26"/>
          <w:szCs w:val="26"/>
        </w:rPr>
        <w:t>28.</w:t>
      </w:r>
      <w:r>
        <w:rPr>
          <w:rFonts w:eastAsia="SimSun" w:cs="Arial"/>
          <w:kern w:val="3"/>
          <w:sz w:val="26"/>
          <w:szCs w:val="26"/>
          <w:lang w:eastAsia="zh-CN" w:bidi="hi-IN"/>
        </w:rPr>
        <w:t>04.23 № 47/0/245-23 за темою «Дотримання законодавства щодо нерозголошення інформації про викривача (дотримання конфіденційності) працівниками, що здійснюють реєстрацію його повідомлення»;</w:t>
      </w:r>
    </w:p>
    <w:p w14:paraId="4A4E0157" w14:textId="77777777" w:rsidR="0045448B" w:rsidRDefault="00000000">
      <w:pPr>
        <w:pStyle w:val="ac"/>
        <w:snapToGrid w:val="0"/>
        <w:ind w:firstLine="709"/>
        <w:jc w:val="both"/>
        <w:rPr>
          <w:sz w:val="26"/>
          <w:szCs w:val="26"/>
        </w:rPr>
      </w:pPr>
      <w:r>
        <w:rPr>
          <w:rFonts w:eastAsia="SimSun" w:cs="Arial"/>
          <w:kern w:val="3"/>
          <w:sz w:val="26"/>
          <w:szCs w:val="26"/>
          <w:lang w:eastAsia="zh-CN" w:bidi="hi-IN"/>
        </w:rPr>
        <w:t>19.05.23 № 52/0/245-23 за темою «Корупційні правопорушення та правопорушення, пов’язані з корупцією. Відповідальність за їх вчинення та наслідки для державних службовців»;</w:t>
      </w:r>
    </w:p>
    <w:p w14:paraId="2D96452B" w14:textId="77777777" w:rsidR="0045448B" w:rsidRDefault="00000000">
      <w:pPr>
        <w:pStyle w:val="ac"/>
        <w:tabs>
          <w:tab w:val="left" w:pos="0"/>
        </w:tabs>
        <w:snapToGrid w:val="0"/>
        <w:ind w:firstLine="709"/>
        <w:jc w:val="both"/>
      </w:pPr>
      <w:r>
        <w:rPr>
          <w:rStyle w:val="ad"/>
          <w:rFonts w:ascii="Liberation Serif" w:eastAsia="SimSun" w:hAnsi="Liberation Serif" w:cs="Arial"/>
          <w:kern w:val="3"/>
          <w:sz w:val="26"/>
          <w:szCs w:val="26"/>
          <w:lang w:eastAsia="zh-CN" w:bidi="hi-IN"/>
        </w:rPr>
        <w:t>30.06.23 № 70/0/245-23 за темою «Механізми запобігання корупції (Заборони на одержання пільг, послуг і майна органами державної влади та місцевого самоврядування. Спеціальна перевірка. Єдиний державний реєстр осіб, які вчинили корупційні або пов'язані з корупцією правопорушення)».</w:t>
      </w:r>
    </w:p>
    <w:p w14:paraId="78E83EEF" w14:textId="77777777" w:rsidR="0045448B" w:rsidRDefault="00000000">
      <w:pPr>
        <w:pStyle w:val="Standard"/>
        <w:tabs>
          <w:tab w:val="left" w:pos="709"/>
          <w:tab w:val="left" w:pos="900"/>
          <w:tab w:val="left" w:pos="1200"/>
          <w:tab w:val="left" w:pos="10155"/>
        </w:tabs>
        <w:ind w:firstLine="680"/>
        <w:jc w:val="both"/>
      </w:pPr>
      <w:r>
        <w:rPr>
          <w:rStyle w:val="ad"/>
          <w:rFonts w:eastAsia="Times New Roman" w:cs="Times New Roman"/>
          <w:color w:val="000000"/>
          <w:kern w:val="0"/>
          <w:sz w:val="26"/>
          <w:szCs w:val="26"/>
          <w:lang w:eastAsia="en-US" w:bidi="hi-IN"/>
        </w:rPr>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00C35F7F" w14:textId="77777777" w:rsidR="0045448B" w:rsidRDefault="00000000">
      <w:pPr>
        <w:pStyle w:val="a4"/>
        <w:tabs>
          <w:tab w:val="left" w:pos="709"/>
          <w:tab w:val="left" w:pos="900"/>
          <w:tab w:val="left" w:pos="1200"/>
          <w:tab w:val="left" w:pos="10155"/>
        </w:tabs>
        <w:jc w:val="both"/>
        <w:rPr>
          <w:rFonts w:hint="eastAsia"/>
        </w:rPr>
      </w:pPr>
      <w:r>
        <w:rPr>
          <w:rStyle w:val="ad"/>
          <w:rFonts w:ascii="Times New Roman" w:hAnsi="Times New Roman"/>
          <w:color w:val="auto"/>
          <w:sz w:val="26"/>
          <w:szCs w:val="26"/>
        </w:rPr>
        <w:tab/>
        <w:t>Також управлінням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для ознайомлення з ними їх працівників.</w:t>
      </w:r>
    </w:p>
    <w:p w14:paraId="62334A99" w14:textId="77777777" w:rsidR="0045448B" w:rsidRDefault="00000000">
      <w:pPr>
        <w:pStyle w:val="a4"/>
        <w:tabs>
          <w:tab w:val="left" w:pos="709"/>
          <w:tab w:val="left" w:pos="900"/>
          <w:tab w:val="left" w:pos="1200"/>
          <w:tab w:val="left" w:pos="10155"/>
        </w:tabs>
        <w:ind w:firstLine="706"/>
        <w:jc w:val="both"/>
        <w:rPr>
          <w:rFonts w:hint="eastAsia"/>
        </w:rPr>
      </w:pPr>
      <w:r>
        <w:rPr>
          <w:rStyle w:val="ad"/>
          <w:rFonts w:ascii="Times New Roman" w:hAnsi="Times New Roman"/>
          <w:sz w:val="26"/>
          <w:szCs w:val="26"/>
        </w:rPr>
        <w:t>В поточному році управлінням було розроблено і направлено  такі пам’ятки:</w:t>
      </w:r>
    </w:p>
    <w:p w14:paraId="64C1CA04" w14:textId="77777777" w:rsidR="0045448B" w:rsidRDefault="00000000">
      <w:pPr>
        <w:pStyle w:val="Standard"/>
        <w:ind w:firstLine="709"/>
        <w:jc w:val="both"/>
        <w:rPr>
          <w:sz w:val="26"/>
          <w:szCs w:val="26"/>
        </w:rPr>
      </w:pPr>
      <w:r>
        <w:rPr>
          <w:sz w:val="26"/>
          <w:szCs w:val="26"/>
        </w:rPr>
        <w:t>17.01.2023 за № 2/0/245-23, Пам’ятка «Дані для декларації»;</w:t>
      </w:r>
    </w:p>
    <w:p w14:paraId="796FD91C" w14:textId="77777777" w:rsidR="0045448B" w:rsidRDefault="00000000">
      <w:pPr>
        <w:pStyle w:val="Standard"/>
        <w:ind w:firstLine="709"/>
        <w:jc w:val="both"/>
        <w:rPr>
          <w:sz w:val="26"/>
          <w:szCs w:val="26"/>
        </w:rPr>
      </w:pPr>
      <w:r>
        <w:rPr>
          <w:sz w:val="26"/>
          <w:szCs w:val="26"/>
        </w:rPr>
        <w:t>23.01.2023 за № 8/0/245-23, Пам’ятка «Здійснення повідомлення викривачів. Гарантії державного захисту ї прав. Види правової допомоги викривачам»;</w:t>
      </w:r>
    </w:p>
    <w:p w14:paraId="52E90952" w14:textId="77777777" w:rsidR="0045448B" w:rsidRDefault="00000000">
      <w:pPr>
        <w:pStyle w:val="Standard"/>
        <w:ind w:firstLine="709"/>
        <w:jc w:val="both"/>
        <w:rPr>
          <w:sz w:val="26"/>
          <w:szCs w:val="26"/>
        </w:rPr>
      </w:pPr>
      <w:r>
        <w:rPr>
          <w:sz w:val="26"/>
          <w:szCs w:val="26"/>
        </w:rPr>
        <w:t>15.03.2023 за № 29/0/245-23, Пам’ятка «Про порядок отримання з державних реєстрів інформації, необхідної для заповнення декларації особи, уповноваженої на виконання функцій держави або місцевого самоврядування»;</w:t>
      </w:r>
    </w:p>
    <w:p w14:paraId="51177C42" w14:textId="77777777" w:rsidR="0045448B" w:rsidRDefault="00000000">
      <w:pPr>
        <w:pStyle w:val="Standard"/>
        <w:ind w:firstLine="709"/>
        <w:jc w:val="both"/>
      </w:pPr>
      <w:r>
        <w:rPr>
          <w:rStyle w:val="ad"/>
          <w:rFonts w:cs="Times New Roman"/>
          <w:color w:val="00000A"/>
          <w:sz w:val="26"/>
          <w:szCs w:val="26"/>
        </w:rPr>
        <w:t>28.03.2023 за № 32/0/245-23, Пам’ятка «Щодо особливостей декларування грошової допомоги, отриманої від міжнародних організацій».</w:t>
      </w:r>
    </w:p>
    <w:p w14:paraId="0D06D848" w14:textId="77777777" w:rsidR="0045448B" w:rsidRDefault="00000000">
      <w:pPr>
        <w:pStyle w:val="Standard"/>
        <w:ind w:firstLine="709"/>
        <w:jc w:val="both"/>
        <w:rPr>
          <w:sz w:val="26"/>
          <w:szCs w:val="26"/>
        </w:rPr>
      </w:pPr>
      <w:r>
        <w:rPr>
          <w:sz w:val="26"/>
          <w:szCs w:val="26"/>
        </w:rPr>
        <w:t>24.04.23 № 40/0/245-23 Пам’ятка «Щодо особливостей  декларування грошової допомоги, отриманої держслужбовцями від держави як внутрішньо переміщені особи»;</w:t>
      </w:r>
    </w:p>
    <w:p w14:paraId="5AA3EFA3" w14:textId="77777777" w:rsidR="0045448B" w:rsidRDefault="00000000">
      <w:pPr>
        <w:pStyle w:val="Standard"/>
        <w:ind w:firstLine="709"/>
        <w:jc w:val="both"/>
        <w:rPr>
          <w:sz w:val="26"/>
          <w:szCs w:val="26"/>
        </w:rPr>
      </w:pPr>
      <w:r>
        <w:rPr>
          <w:sz w:val="26"/>
          <w:szCs w:val="26"/>
        </w:rPr>
        <w:t>23.05.23 № 53/0/245-23 Пам’ятка «Щодо особливостей зайняття іншою оплачуваною або підприємницькою діяльністю особами, дію трудового договору яких призупинено»;</w:t>
      </w:r>
    </w:p>
    <w:p w14:paraId="5E2D23DE" w14:textId="77777777" w:rsidR="0045448B" w:rsidRDefault="00000000">
      <w:pPr>
        <w:pStyle w:val="Standard"/>
        <w:ind w:firstLine="709"/>
        <w:jc w:val="both"/>
      </w:pPr>
      <w:r>
        <w:rPr>
          <w:rStyle w:val="ad"/>
          <w:rFonts w:cs="Times New Roman"/>
          <w:color w:val="00000A"/>
          <w:sz w:val="26"/>
          <w:szCs w:val="26"/>
        </w:rPr>
        <w:t>29.06.23 № 68/0/245-23 Пам’ятка «Щодо одночасного перебування особи на посаді, яка передбачає виконання функцій держави, та членства в добровольчих формуваннях територіальних громад у період дії воєнного стану».</w:t>
      </w:r>
    </w:p>
    <w:p w14:paraId="04C5EBD2" w14:textId="77777777" w:rsidR="0045448B" w:rsidRDefault="00000000">
      <w:pPr>
        <w:pStyle w:val="Standard"/>
        <w:tabs>
          <w:tab w:val="left" w:pos="709"/>
          <w:tab w:val="left" w:pos="900"/>
          <w:tab w:val="left" w:pos="1200"/>
          <w:tab w:val="left" w:pos="10155"/>
        </w:tabs>
        <w:ind w:firstLine="680"/>
        <w:jc w:val="both"/>
      </w:pPr>
      <w:r>
        <w:rPr>
          <w:rStyle w:val="ad"/>
          <w:sz w:val="26"/>
          <w:szCs w:val="26"/>
        </w:rPr>
        <w:t>Всі пам’ятки були розміщені на сайті облдержадміністрації в підрозділі</w:t>
      </w:r>
      <w:r>
        <w:rPr>
          <w:rStyle w:val="ad"/>
          <w:b/>
          <w:bCs/>
          <w:sz w:val="26"/>
          <w:szCs w:val="26"/>
        </w:rPr>
        <w:t xml:space="preserve"> “</w:t>
      </w:r>
      <w:r>
        <w:rPr>
          <w:rStyle w:val="ad"/>
          <w:color w:val="000000"/>
          <w:sz w:val="26"/>
          <w:szCs w:val="26"/>
        </w:rPr>
        <w:t>Пам'ятки щодо дотримання антикорупційного законодавства”.</w:t>
      </w:r>
    </w:p>
    <w:p w14:paraId="37F4878B" w14:textId="77777777" w:rsidR="0045448B" w:rsidRDefault="00000000">
      <w:pPr>
        <w:pStyle w:val="Standard"/>
        <w:jc w:val="both"/>
      </w:pPr>
      <w:r>
        <w:rPr>
          <w:rStyle w:val="ad"/>
          <w:rFonts w:eastAsia="Times New Roman" w:cs="Times New Roman"/>
          <w:color w:val="000000"/>
          <w:sz w:val="26"/>
          <w:szCs w:val="26"/>
          <w:lang w:eastAsia="en-US" w:bidi="hi-IN"/>
        </w:rPr>
        <w:tab/>
        <w:t xml:space="preserve">На виконання листів  НАЗК від 29.04.2022 №33-02/10986 та від 20.05.2022              № 33-02/12333-22  щодо виявлення та надання до  НАЗК інформації про факти </w:t>
      </w:r>
      <w:proofErr w:type="spellStart"/>
      <w:r>
        <w:rPr>
          <w:rStyle w:val="ad"/>
          <w:rFonts w:eastAsia="Times New Roman" w:cs="Times New Roman"/>
          <w:color w:val="000000"/>
          <w:sz w:val="26"/>
          <w:szCs w:val="26"/>
          <w:lang w:eastAsia="en-US" w:bidi="hi-IN"/>
        </w:rPr>
        <w:t>колабораційної</w:t>
      </w:r>
      <w:proofErr w:type="spellEnd"/>
      <w:r>
        <w:rPr>
          <w:rStyle w:val="ad"/>
          <w:rFonts w:eastAsia="Times New Roman" w:cs="Times New Roman"/>
          <w:color w:val="000000"/>
          <w:sz w:val="26"/>
          <w:szCs w:val="26"/>
          <w:lang w:eastAsia="en-US" w:bidi="hi-IN"/>
        </w:rPr>
        <w:t xml:space="preserve">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Style w:val="ad"/>
          <w:rFonts w:eastAsia="Times New Roman" w:cs="Times New Roman"/>
          <w:color w:val="333333"/>
          <w:sz w:val="26"/>
          <w:szCs w:val="26"/>
          <w:lang w:eastAsia="en-US" w:bidi="hi-IN"/>
        </w:rPr>
        <w:t xml:space="preserve">ершого заступника голови облдержадміністрації                  </w:t>
      </w:r>
      <w:proofErr w:type="spellStart"/>
      <w:r>
        <w:rPr>
          <w:rStyle w:val="ad"/>
          <w:rFonts w:eastAsia="Times New Roman" w:cs="Times New Roman"/>
          <w:color w:val="333333"/>
          <w:sz w:val="26"/>
          <w:szCs w:val="26"/>
          <w:lang w:eastAsia="en-US" w:bidi="hi-IN"/>
        </w:rPr>
        <w:t>Ігора</w:t>
      </w:r>
      <w:proofErr w:type="spellEnd"/>
      <w:r>
        <w:rPr>
          <w:rStyle w:val="ad"/>
          <w:rFonts w:eastAsia="Times New Roman" w:cs="Times New Roman"/>
          <w:color w:val="333333"/>
          <w:sz w:val="26"/>
          <w:szCs w:val="26"/>
          <w:lang w:eastAsia="en-US" w:bidi="hi-IN"/>
        </w:rPr>
        <w:t xml:space="preserve"> МОРОЗА </w:t>
      </w:r>
      <w:r>
        <w:rPr>
          <w:rStyle w:val="ad"/>
          <w:rFonts w:eastAsia="Times New Roman" w:cs="Times New Roman"/>
          <w:color w:val="000000"/>
          <w:sz w:val="26"/>
          <w:szCs w:val="26"/>
          <w:lang w:eastAsia="en-US" w:bidi="hi-IN"/>
        </w:rPr>
        <w:t xml:space="preserve">було направлено відповідний лист від 04.05.2022 №0.2/16-1225/4-22. </w:t>
      </w:r>
      <w:r>
        <w:rPr>
          <w:rStyle w:val="ad"/>
          <w:rFonts w:eastAsia="Times New Roman" w:cs="Times New Roman"/>
          <w:color w:val="000000"/>
          <w:sz w:val="26"/>
          <w:szCs w:val="26"/>
          <w:lang w:eastAsia="en-US" w:bidi="hi-IN"/>
        </w:rPr>
        <w:tab/>
        <w:t xml:space="preserve">Вказана інформація постійно отримується і обробляється управлінням, потім за </w:t>
      </w:r>
      <w:r>
        <w:rPr>
          <w:rStyle w:val="ad"/>
          <w:rFonts w:eastAsia="Times New Roman" w:cs="Times New Roman"/>
          <w:color w:val="000000"/>
          <w:sz w:val="26"/>
          <w:szCs w:val="26"/>
          <w:lang w:eastAsia="en-US" w:bidi="hi-IN"/>
        </w:rPr>
        <w:lastRenderedPageBreak/>
        <w:t xml:space="preserve">встановленою формою </w:t>
      </w:r>
      <w:proofErr w:type="spellStart"/>
      <w:r>
        <w:rPr>
          <w:rStyle w:val="ad"/>
          <w:rFonts w:eastAsia="Times New Roman" w:cs="Times New Roman"/>
          <w:color w:val="000000"/>
          <w:sz w:val="26"/>
          <w:szCs w:val="26"/>
          <w:lang w:eastAsia="en-US" w:bidi="hi-IN"/>
        </w:rPr>
        <w:t>оперативно</w:t>
      </w:r>
      <w:proofErr w:type="spellEnd"/>
      <w:r>
        <w:rPr>
          <w:rStyle w:val="ad"/>
          <w:rFonts w:eastAsia="Times New Roman" w:cs="Times New Roman"/>
          <w:color w:val="000000"/>
          <w:sz w:val="26"/>
          <w:szCs w:val="26"/>
          <w:lang w:eastAsia="en-US" w:bidi="hi-IN"/>
        </w:rPr>
        <w:t xml:space="preserve"> направляється до НАЗК для занесення до відповідного реєстру.</w:t>
      </w:r>
    </w:p>
    <w:p w14:paraId="3B00B870" w14:textId="77777777" w:rsidR="0045448B" w:rsidRDefault="00000000">
      <w:pPr>
        <w:pStyle w:val="Standard"/>
        <w:jc w:val="both"/>
        <w:rPr>
          <w:sz w:val="26"/>
          <w:szCs w:val="26"/>
        </w:rPr>
      </w:pPr>
      <w:r>
        <w:rPr>
          <w:sz w:val="26"/>
          <w:szCs w:val="26"/>
        </w:rPr>
        <w:tab/>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25B06B78" w14:textId="77777777" w:rsidR="0045448B" w:rsidRDefault="00000000">
      <w:pPr>
        <w:pStyle w:val="Standard"/>
        <w:jc w:val="both"/>
      </w:pPr>
      <w:r>
        <w:rPr>
          <w:rStyle w:val="ad"/>
          <w:sz w:val="28"/>
          <w:szCs w:val="28"/>
        </w:rPr>
        <w:t xml:space="preserve">      </w:t>
      </w:r>
      <w:r>
        <w:rPr>
          <w:rStyle w:val="ad"/>
          <w:sz w:val="26"/>
          <w:szCs w:val="26"/>
        </w:rPr>
        <w:t xml:space="preserve"> Управлінням проводяться інструктажі щодо дотримання вимог Закону України “Про запобігання корупції” з працівниками, які призначаються на посади  або звільняються  з посад держслужбовців. Після початку збройної агресії </w:t>
      </w:r>
      <w:proofErr w:type="spellStart"/>
      <w:r>
        <w:rPr>
          <w:rStyle w:val="ad"/>
          <w:sz w:val="26"/>
          <w:szCs w:val="26"/>
        </w:rPr>
        <w:t>росії</w:t>
      </w:r>
      <w:proofErr w:type="spellEnd"/>
      <w:r>
        <w:rPr>
          <w:rStyle w:val="ad"/>
          <w:sz w:val="26"/>
          <w:szCs w:val="26"/>
        </w:rPr>
        <w:t xml:space="preserve"> ця робота проводиться в телефонному режимі.</w:t>
      </w:r>
    </w:p>
    <w:p w14:paraId="7C1798B5" w14:textId="77777777" w:rsidR="0045448B" w:rsidRDefault="00000000">
      <w:pPr>
        <w:pStyle w:val="Standard"/>
        <w:tabs>
          <w:tab w:val="left" w:pos="709"/>
          <w:tab w:val="left" w:pos="900"/>
          <w:tab w:val="left" w:pos="1200"/>
          <w:tab w:val="left" w:pos="10155"/>
        </w:tabs>
        <w:ind w:firstLine="567"/>
        <w:jc w:val="both"/>
      </w:pPr>
      <w:r>
        <w:rPr>
          <w:rStyle w:val="ad"/>
          <w:sz w:val="26"/>
          <w:szCs w:val="26"/>
        </w:rPr>
        <w:t xml:space="preserve"> З метою встановлення фактичної картини, що стосується діяльності в умовах воєнного стану комунальних підприємств, установ, закладів, управлінням 24.01.2023 за № 9/0/245-23 структурним підрозділам облдержадміністрації було направлено листа “Про надання інформації щодо місцезнаходження (фактичної адреси) підприємств, установ, закладів та організацій, що належать до сфери управління облдержадміністрації, та продовжують здійснювати діяльність”. Отримана інформація  узагальнена та використовується управлінням в цілях проведення контролю за виконанням їх посадовими особами вимог антикорупційного законодавства.</w:t>
      </w:r>
    </w:p>
    <w:p w14:paraId="304A47D9" w14:textId="77777777" w:rsidR="0045448B" w:rsidRDefault="00000000">
      <w:pPr>
        <w:pStyle w:val="Standard"/>
        <w:tabs>
          <w:tab w:val="left" w:pos="0"/>
          <w:tab w:val="left" w:pos="10155"/>
        </w:tabs>
        <w:ind w:firstLine="567"/>
        <w:jc w:val="both"/>
      </w:pPr>
      <w:r>
        <w:rPr>
          <w:sz w:val="26"/>
          <w:szCs w:val="26"/>
        </w:rPr>
        <w:t xml:space="preserve"> Розроблено та затверджено керівництвом облдержадміністрації </w:t>
      </w:r>
      <w:r>
        <w:rPr>
          <w:rStyle w:val="ad"/>
          <w:rFonts w:eastAsia="Times New Roman" w:cs="Times New Roman"/>
          <w:kern w:val="0"/>
          <w:sz w:val="26"/>
          <w:szCs w:val="26"/>
          <w:lang w:eastAsia="en-US"/>
        </w:rPr>
        <w:t>План перевірок на 2023 рік підприємств, установ, закладів та організацій, управління якими здійснює облдержадміністрація, та закладів фахової вищої освіти області щодо дотримання вимог антикорупційного законодавства.</w:t>
      </w:r>
    </w:p>
    <w:p w14:paraId="2CB31F7B" w14:textId="77777777" w:rsidR="0045448B" w:rsidRDefault="00000000">
      <w:pPr>
        <w:pStyle w:val="a4"/>
        <w:ind w:firstLine="567"/>
        <w:jc w:val="both"/>
        <w:rPr>
          <w:rFonts w:hint="eastAsia"/>
        </w:rPr>
      </w:pPr>
      <w:r>
        <w:rPr>
          <w:rFonts w:ascii="Times New Roman" w:hAnsi="Times New Roman"/>
          <w:sz w:val="26"/>
          <w:szCs w:val="26"/>
        </w:rPr>
        <w:t xml:space="preserve"> Забезпечено контроль за виконанням вимог нормативно-правових документів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закладах та організаціях, управління якими здійснює облдержадміністрація, шляхом проведення перевірок роботи уповноважених,  з наданням їм відповідних рекомендацій, методичної та консультативної  допомоги.</w:t>
      </w:r>
    </w:p>
    <w:p w14:paraId="6ECB8EBE" w14:textId="77777777" w:rsidR="0045448B" w:rsidRDefault="00000000">
      <w:pPr>
        <w:pStyle w:val="a4"/>
        <w:ind w:firstLine="567"/>
        <w:jc w:val="both"/>
        <w:rPr>
          <w:rFonts w:ascii="Times New Roman" w:hAnsi="Times New Roman"/>
          <w:sz w:val="26"/>
          <w:szCs w:val="26"/>
        </w:rPr>
      </w:pPr>
      <w:r>
        <w:rPr>
          <w:rFonts w:ascii="Times New Roman" w:hAnsi="Times New Roman"/>
          <w:sz w:val="26"/>
          <w:szCs w:val="26"/>
        </w:rPr>
        <w:t xml:space="preserve">  З початку поточного року працівниками управління проведено такі перевірки організації роботи  із запобігання і виявлення корупції, складено відповідні довідки з рекомендаціями по усуненню виявлених недоліків:</w:t>
      </w:r>
    </w:p>
    <w:p w14:paraId="122FFFCB" w14:textId="77777777" w:rsidR="0045448B" w:rsidRDefault="00000000">
      <w:pPr>
        <w:pStyle w:val="a4"/>
        <w:ind w:firstLine="567"/>
        <w:jc w:val="both"/>
        <w:rPr>
          <w:rFonts w:ascii="Times New Roman" w:hAnsi="Times New Roman"/>
          <w:sz w:val="26"/>
          <w:szCs w:val="26"/>
        </w:rPr>
      </w:pPr>
      <w:r>
        <w:rPr>
          <w:rFonts w:ascii="Times New Roman" w:hAnsi="Times New Roman"/>
          <w:sz w:val="26"/>
          <w:szCs w:val="26"/>
        </w:rPr>
        <w:t xml:space="preserve">  - лютий - Комунальна некомерційна установа «Онкологічний диспансер             м. Маріуполь»;</w:t>
      </w:r>
    </w:p>
    <w:p w14:paraId="5674D075" w14:textId="77777777" w:rsidR="0045448B" w:rsidRDefault="00000000">
      <w:pPr>
        <w:pStyle w:val="a4"/>
        <w:ind w:firstLine="567"/>
        <w:jc w:val="both"/>
        <w:rPr>
          <w:rFonts w:ascii="Times New Roman" w:hAnsi="Times New Roman"/>
          <w:sz w:val="26"/>
          <w:szCs w:val="26"/>
        </w:rPr>
      </w:pPr>
      <w:r>
        <w:rPr>
          <w:rFonts w:ascii="Times New Roman" w:hAnsi="Times New Roman"/>
          <w:sz w:val="26"/>
          <w:szCs w:val="26"/>
        </w:rPr>
        <w:tab/>
        <w:t xml:space="preserve"> - лютий - Комунальне некомерційне підприємство «Психіатрична лікарня                             м. Краматорськ»;</w:t>
      </w:r>
    </w:p>
    <w:p w14:paraId="5A6DFDCE" w14:textId="77777777" w:rsidR="0045448B" w:rsidRDefault="00000000">
      <w:pPr>
        <w:pStyle w:val="a4"/>
        <w:ind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 березень - </w:t>
      </w:r>
      <w:r>
        <w:rPr>
          <w:rFonts w:ascii="Times New Roman" w:hAnsi="Times New Roman"/>
          <w:spacing w:val="1"/>
          <w:sz w:val="26"/>
          <w:szCs w:val="26"/>
        </w:rPr>
        <w:t>К</w:t>
      </w:r>
      <w:r>
        <w:rPr>
          <w:rFonts w:ascii="Times New Roman" w:hAnsi="Times New Roman"/>
          <w:sz w:val="26"/>
          <w:szCs w:val="26"/>
        </w:rPr>
        <w:t>омунальне</w:t>
      </w:r>
      <w:r>
        <w:rPr>
          <w:rFonts w:ascii="Times New Roman" w:hAnsi="Times New Roman"/>
          <w:spacing w:val="1"/>
          <w:sz w:val="26"/>
          <w:szCs w:val="26"/>
        </w:rPr>
        <w:t xml:space="preserve"> </w:t>
      </w:r>
      <w:r>
        <w:rPr>
          <w:rFonts w:ascii="Times New Roman" w:hAnsi="Times New Roman"/>
          <w:sz w:val="26"/>
          <w:szCs w:val="26"/>
        </w:rPr>
        <w:t>некомерційне</w:t>
      </w:r>
      <w:r>
        <w:rPr>
          <w:rFonts w:ascii="Times New Roman" w:hAnsi="Times New Roman"/>
          <w:spacing w:val="1"/>
          <w:sz w:val="26"/>
          <w:szCs w:val="26"/>
        </w:rPr>
        <w:t xml:space="preserve"> підприємство</w:t>
      </w:r>
      <w:r>
        <w:rPr>
          <w:rFonts w:ascii="Times New Roman" w:hAnsi="Times New Roman"/>
          <w:sz w:val="26"/>
          <w:szCs w:val="26"/>
        </w:rPr>
        <w:t xml:space="preserve"> “</w:t>
      </w:r>
      <w:proofErr w:type="spellStart"/>
      <w:r>
        <w:rPr>
          <w:rFonts w:ascii="Times New Roman" w:hAnsi="Times New Roman"/>
          <w:sz w:val="26"/>
          <w:szCs w:val="26"/>
        </w:rPr>
        <w:t>Дерматовенерологічний</w:t>
      </w:r>
      <w:proofErr w:type="spellEnd"/>
      <w:r>
        <w:rPr>
          <w:rFonts w:ascii="Times New Roman" w:hAnsi="Times New Roman"/>
          <w:sz w:val="26"/>
          <w:szCs w:val="26"/>
        </w:rPr>
        <w:t xml:space="preserve"> диспансер м. Маріуполь”;</w:t>
      </w:r>
    </w:p>
    <w:p w14:paraId="48AEB7DB" w14:textId="77777777" w:rsidR="0045448B" w:rsidRDefault="00000000">
      <w:pPr>
        <w:pStyle w:val="a4"/>
        <w:ind w:firstLine="567"/>
        <w:jc w:val="both"/>
        <w:rPr>
          <w:rFonts w:ascii="Times New Roman" w:hAnsi="Times New Roman"/>
          <w:sz w:val="26"/>
          <w:szCs w:val="26"/>
        </w:rPr>
      </w:pPr>
      <w:r>
        <w:rPr>
          <w:rFonts w:ascii="Times New Roman" w:hAnsi="Times New Roman"/>
          <w:color w:val="000000"/>
          <w:spacing w:val="1"/>
          <w:sz w:val="26"/>
          <w:szCs w:val="26"/>
        </w:rPr>
        <w:t xml:space="preserve">  </w:t>
      </w:r>
      <w:r>
        <w:rPr>
          <w:rFonts w:ascii="Times New Roman" w:hAnsi="Times New Roman"/>
          <w:color w:val="000000"/>
          <w:spacing w:val="1"/>
          <w:sz w:val="26"/>
          <w:szCs w:val="26"/>
        </w:rPr>
        <w:tab/>
        <w:t xml:space="preserve"> - квітень </w:t>
      </w:r>
      <w:r>
        <w:rPr>
          <w:rFonts w:ascii="Times New Roman" w:hAnsi="Times New Roman"/>
          <w:color w:val="000000"/>
          <w:sz w:val="26"/>
          <w:szCs w:val="26"/>
        </w:rPr>
        <w:t>- Комунальне некомерційне підприємство “Обласний клінічний протитуберкульозний диспансер”;</w:t>
      </w:r>
    </w:p>
    <w:p w14:paraId="71D0153C" w14:textId="77777777" w:rsidR="0045448B" w:rsidRDefault="00000000">
      <w:pPr>
        <w:pStyle w:val="a4"/>
        <w:ind w:firstLine="567"/>
        <w:jc w:val="both"/>
        <w:rPr>
          <w:rFonts w:ascii="Times New Roman" w:hAnsi="Times New Roman"/>
          <w:sz w:val="26"/>
          <w:szCs w:val="26"/>
        </w:rPr>
      </w:pPr>
      <w:r>
        <w:rPr>
          <w:rFonts w:ascii="Times New Roman" w:hAnsi="Times New Roman"/>
          <w:color w:val="000000"/>
          <w:sz w:val="26"/>
          <w:szCs w:val="26"/>
        </w:rPr>
        <w:tab/>
        <w:t xml:space="preserve"> - травень - Комунальне некомерційне підприємство “</w:t>
      </w:r>
      <w:proofErr w:type="spellStart"/>
      <w:r>
        <w:rPr>
          <w:rFonts w:ascii="Times New Roman" w:hAnsi="Times New Roman"/>
          <w:color w:val="000000"/>
          <w:sz w:val="26"/>
          <w:szCs w:val="26"/>
        </w:rPr>
        <w:t>Перинатальний</w:t>
      </w:r>
      <w:proofErr w:type="spellEnd"/>
      <w:r>
        <w:rPr>
          <w:rFonts w:ascii="Times New Roman" w:hAnsi="Times New Roman"/>
          <w:color w:val="000000"/>
          <w:sz w:val="26"/>
          <w:szCs w:val="26"/>
        </w:rPr>
        <w:t xml:space="preserve"> центр              м. Маріуполь”;</w:t>
      </w:r>
    </w:p>
    <w:p w14:paraId="56CBA657" w14:textId="77777777" w:rsidR="0045448B" w:rsidRDefault="00000000">
      <w:pPr>
        <w:pStyle w:val="a4"/>
        <w:ind w:firstLine="567"/>
        <w:jc w:val="both"/>
        <w:rPr>
          <w:rFonts w:hint="eastAsia"/>
        </w:rPr>
      </w:pPr>
      <w:r>
        <w:rPr>
          <w:rFonts w:ascii="Times New Roman" w:hAnsi="Times New Roman"/>
          <w:color w:val="000000"/>
          <w:sz w:val="26"/>
          <w:szCs w:val="26"/>
        </w:rPr>
        <w:tab/>
        <w:t xml:space="preserve"> - червень - Комунальна установа “Обласний центр з матеріально-технічного забезпечення закладів охорони здоров'я”.</w:t>
      </w:r>
      <w:r>
        <w:rPr>
          <w:rFonts w:ascii="Times New Roman" w:hAnsi="Times New Roman"/>
          <w:spacing w:val="1"/>
          <w:sz w:val="26"/>
          <w:szCs w:val="26"/>
        </w:rPr>
        <w:t xml:space="preserve">           </w:t>
      </w:r>
    </w:p>
    <w:p w14:paraId="5DB94812" w14:textId="77777777" w:rsidR="0045448B" w:rsidRDefault="00000000">
      <w:pPr>
        <w:pStyle w:val="a4"/>
        <w:ind w:firstLine="567"/>
        <w:jc w:val="both"/>
        <w:rPr>
          <w:rFonts w:hint="eastAsia"/>
        </w:rPr>
      </w:pPr>
      <w:r>
        <w:rPr>
          <w:rStyle w:val="ad"/>
          <w:rFonts w:ascii="Times New Roman" w:hAnsi="Times New Roman"/>
          <w:color w:val="FF0000"/>
          <w:sz w:val="26"/>
          <w:szCs w:val="26"/>
        </w:rPr>
        <w:lastRenderedPageBreak/>
        <w:t xml:space="preserve"> </w:t>
      </w:r>
      <w:r>
        <w:rPr>
          <w:rStyle w:val="ad"/>
          <w:rFonts w:ascii="Times New Roman" w:hAnsi="Times New Roman"/>
          <w:sz w:val="26"/>
          <w:szCs w:val="26"/>
        </w:rPr>
        <w:t>Управлінням забезпечено здійснення контролю за направленням управлінням кадрового забезпечення та з питань нагород облдержадміністрації та кадровими службами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НАЗК стосовно працівників за вчинення корупційного або пов'язаного з корупцією правопорушення.</w:t>
      </w:r>
    </w:p>
    <w:p w14:paraId="280ECD08" w14:textId="77777777" w:rsidR="0045448B" w:rsidRDefault="00000000">
      <w:pPr>
        <w:pStyle w:val="a4"/>
        <w:ind w:right="141" w:firstLine="706"/>
        <w:jc w:val="both"/>
        <w:rPr>
          <w:rFonts w:hint="eastAsia"/>
        </w:rPr>
      </w:pPr>
      <w:r>
        <w:rPr>
          <w:rFonts w:ascii="Times New Roman" w:hAnsi="Times New Roman"/>
          <w:sz w:val="26"/>
          <w:szCs w:val="26"/>
        </w:rPr>
        <w:t xml:space="preserve">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 </w:t>
      </w:r>
      <w:r>
        <w:rPr>
          <w:rStyle w:val="ad"/>
          <w:rFonts w:ascii="Times New Roman" w:hAnsi="Times New Roman"/>
          <w:sz w:val="26"/>
          <w:szCs w:val="26"/>
        </w:rPr>
        <w:t>Забезпечено ведення обліку повідомлень про корупцію, внесеними викривачами.</w:t>
      </w:r>
    </w:p>
    <w:p w14:paraId="5ADC745C" w14:textId="77777777" w:rsidR="0045448B" w:rsidRDefault="00000000">
      <w:pPr>
        <w:pStyle w:val="a0"/>
        <w:widowControl/>
        <w:tabs>
          <w:tab w:val="left" w:pos="9639"/>
        </w:tabs>
        <w:jc w:val="both"/>
      </w:pPr>
      <w:r>
        <w:rPr>
          <w:rStyle w:val="ad"/>
          <w:rFonts w:eastAsia="Times New Roman" w:cs="Times New Roman"/>
          <w:sz w:val="26"/>
          <w:szCs w:val="26"/>
        </w:rPr>
        <w:t xml:space="preserve">        </w:t>
      </w:r>
      <w:r>
        <w:rPr>
          <w:rStyle w:val="ad"/>
          <w:rFonts w:cs="Times New Roman"/>
          <w:sz w:val="26"/>
          <w:szCs w:val="26"/>
        </w:rPr>
        <w:t>За 6 місяців 2023 року співробітниками управління опрацьовано 293 одиниці вхідної кореспонденції, в тому числі - 15 доручень центральних органів виконавчої влади, 12 листів юридичних осіб та громадських організацій з резолюціями керівництва облдержадміністрації. Розглянуто 54 звернення громадян та один запит на отримання публічної інформації з питань, що стосуються компетенції управління.</w:t>
      </w:r>
    </w:p>
    <w:p w14:paraId="5668E010" w14:textId="77777777" w:rsidR="0045448B" w:rsidRDefault="00000000">
      <w:pPr>
        <w:pStyle w:val="a0"/>
        <w:widowControl/>
        <w:tabs>
          <w:tab w:val="left" w:pos="9639"/>
        </w:tabs>
        <w:jc w:val="both"/>
      </w:pPr>
      <w:r>
        <w:rPr>
          <w:rStyle w:val="ad"/>
          <w:rFonts w:cs="Times New Roman"/>
          <w:sz w:val="26"/>
          <w:szCs w:val="26"/>
        </w:rPr>
        <w:t xml:space="preserve">         Забезпечено участь працівників управління у роботі  комісії з питань нагород при  облдержадміністрації,  комісії по списанню матеріальних цінностей, комісії</w:t>
      </w:r>
      <w:r>
        <w:rPr>
          <w:rStyle w:val="ad"/>
          <w:rFonts w:cs="Times New Roman"/>
          <w:bCs/>
          <w:sz w:val="26"/>
          <w:szCs w:val="26"/>
        </w:rPr>
        <w:t xml:space="preserve"> з оцінки корупційних ризиків</w:t>
      </w:r>
      <w:r>
        <w:rPr>
          <w:rStyle w:val="ad"/>
          <w:rFonts w:cs="Times New Roman"/>
          <w:sz w:val="26"/>
          <w:szCs w:val="26"/>
        </w:rPr>
        <w:t xml:space="preserve"> у діяльності облдержадміністрації та її структурних підрозділів, </w:t>
      </w:r>
      <w:r>
        <w:rPr>
          <w:rStyle w:val="ad"/>
          <w:rFonts w:cs="Times New Roman"/>
          <w:bCs/>
          <w:sz w:val="26"/>
          <w:szCs w:val="26"/>
        </w:rPr>
        <w:t xml:space="preserve">комісії з інвентаризації майна в </w:t>
      </w:r>
      <w:proofErr w:type="spellStart"/>
      <w:r>
        <w:rPr>
          <w:rStyle w:val="ad"/>
          <w:rFonts w:cs="Times New Roman"/>
          <w:bCs/>
          <w:sz w:val="26"/>
          <w:szCs w:val="26"/>
        </w:rPr>
        <w:t>апараті</w:t>
      </w:r>
      <w:proofErr w:type="spellEnd"/>
      <w:r>
        <w:rPr>
          <w:rStyle w:val="ad"/>
          <w:rFonts w:cs="Times New Roman"/>
          <w:bCs/>
          <w:sz w:val="26"/>
          <w:szCs w:val="26"/>
        </w:rPr>
        <w:t xml:space="preserve"> облдержадміністрації.</w:t>
      </w:r>
    </w:p>
    <w:p w14:paraId="10689C35" w14:textId="77777777" w:rsidR="0045448B" w:rsidRDefault="0045448B">
      <w:pPr>
        <w:pStyle w:val="a0"/>
        <w:widowControl/>
        <w:tabs>
          <w:tab w:val="left" w:pos="9639"/>
        </w:tabs>
        <w:jc w:val="both"/>
        <w:rPr>
          <w:sz w:val="26"/>
          <w:szCs w:val="26"/>
        </w:rPr>
      </w:pPr>
    </w:p>
    <w:p w14:paraId="183D614B" w14:textId="77777777" w:rsidR="0045448B" w:rsidRDefault="0045448B">
      <w:pPr>
        <w:pStyle w:val="a0"/>
        <w:widowControl/>
        <w:tabs>
          <w:tab w:val="left" w:pos="9639"/>
        </w:tabs>
        <w:jc w:val="both"/>
        <w:rPr>
          <w:sz w:val="26"/>
          <w:szCs w:val="26"/>
        </w:rPr>
      </w:pPr>
    </w:p>
    <w:p w14:paraId="05CA2B07" w14:textId="77777777" w:rsidR="0045448B" w:rsidRDefault="00000000">
      <w:pPr>
        <w:pStyle w:val="a0"/>
        <w:widowControl/>
        <w:tabs>
          <w:tab w:val="left" w:pos="9639"/>
        </w:tabs>
        <w:jc w:val="both"/>
      </w:pPr>
      <w:r>
        <w:rPr>
          <w:rStyle w:val="ad"/>
          <w:rFonts w:cs="Times New Roman"/>
          <w:bCs/>
          <w:sz w:val="26"/>
          <w:szCs w:val="26"/>
        </w:rPr>
        <w:t>Начальник управління запобігання та</w:t>
      </w:r>
    </w:p>
    <w:p w14:paraId="37E16889" w14:textId="77777777" w:rsidR="0045448B" w:rsidRDefault="00000000">
      <w:pPr>
        <w:pStyle w:val="a0"/>
        <w:widowControl/>
        <w:tabs>
          <w:tab w:val="left" w:pos="9639"/>
        </w:tabs>
        <w:jc w:val="both"/>
      </w:pPr>
      <w:r>
        <w:rPr>
          <w:rStyle w:val="ad"/>
          <w:rFonts w:cs="Times New Roman"/>
          <w:bCs/>
          <w:sz w:val="26"/>
          <w:szCs w:val="26"/>
        </w:rPr>
        <w:t>виявлення корупції облдержадміністрації                                     Олег СТАВИЦЬКИЙ</w:t>
      </w:r>
    </w:p>
    <w:p w14:paraId="5D742410" w14:textId="77777777" w:rsidR="0045448B" w:rsidRDefault="0045448B">
      <w:pPr>
        <w:pStyle w:val="a0"/>
        <w:widowControl/>
        <w:tabs>
          <w:tab w:val="left" w:pos="9639"/>
        </w:tabs>
        <w:jc w:val="both"/>
        <w:rPr>
          <w:sz w:val="26"/>
          <w:szCs w:val="26"/>
        </w:rPr>
      </w:pPr>
    </w:p>
    <w:p w14:paraId="4B9860EA" w14:textId="77777777" w:rsidR="0045448B" w:rsidRDefault="0045448B">
      <w:pPr>
        <w:pStyle w:val="a0"/>
        <w:widowControl/>
        <w:tabs>
          <w:tab w:val="left" w:pos="9639"/>
        </w:tabs>
        <w:jc w:val="both"/>
        <w:rPr>
          <w:sz w:val="26"/>
          <w:szCs w:val="26"/>
        </w:rPr>
      </w:pPr>
    </w:p>
    <w:p w14:paraId="2FCAC873" w14:textId="77777777" w:rsidR="0045448B" w:rsidRDefault="0045448B">
      <w:pPr>
        <w:pStyle w:val="a0"/>
        <w:widowControl/>
        <w:tabs>
          <w:tab w:val="left" w:pos="9639"/>
        </w:tabs>
        <w:jc w:val="both"/>
        <w:rPr>
          <w:sz w:val="26"/>
          <w:szCs w:val="26"/>
        </w:rPr>
      </w:pPr>
    </w:p>
    <w:p w14:paraId="1178BCA5" w14:textId="77777777" w:rsidR="0045448B" w:rsidRDefault="0045448B">
      <w:pPr>
        <w:pStyle w:val="a0"/>
        <w:widowControl/>
        <w:tabs>
          <w:tab w:val="left" w:pos="9639"/>
        </w:tabs>
        <w:jc w:val="both"/>
        <w:rPr>
          <w:sz w:val="26"/>
          <w:szCs w:val="26"/>
        </w:rPr>
      </w:pPr>
    </w:p>
    <w:p w14:paraId="5FE9C9C0" w14:textId="77777777" w:rsidR="0045448B" w:rsidRDefault="0045448B">
      <w:pPr>
        <w:pStyle w:val="a0"/>
        <w:widowControl/>
        <w:tabs>
          <w:tab w:val="left" w:pos="9639"/>
        </w:tabs>
        <w:jc w:val="both"/>
        <w:rPr>
          <w:sz w:val="26"/>
          <w:szCs w:val="26"/>
        </w:rPr>
      </w:pPr>
    </w:p>
    <w:p w14:paraId="26EDB35A" w14:textId="77777777" w:rsidR="0045448B" w:rsidRDefault="0045448B">
      <w:pPr>
        <w:pStyle w:val="a0"/>
        <w:widowControl/>
        <w:tabs>
          <w:tab w:val="left" w:pos="9639"/>
        </w:tabs>
        <w:jc w:val="both"/>
        <w:rPr>
          <w:sz w:val="26"/>
          <w:szCs w:val="26"/>
        </w:rPr>
      </w:pPr>
    </w:p>
    <w:p w14:paraId="08064D0E" w14:textId="77777777" w:rsidR="0045448B" w:rsidRDefault="0045448B">
      <w:pPr>
        <w:pStyle w:val="a0"/>
        <w:widowControl/>
        <w:tabs>
          <w:tab w:val="left" w:pos="9639"/>
        </w:tabs>
        <w:jc w:val="both"/>
        <w:rPr>
          <w:sz w:val="26"/>
          <w:szCs w:val="26"/>
        </w:rPr>
      </w:pPr>
    </w:p>
    <w:p w14:paraId="74C6BEE4" w14:textId="77777777" w:rsidR="0045448B" w:rsidRDefault="0045448B">
      <w:pPr>
        <w:pStyle w:val="a0"/>
        <w:widowControl/>
        <w:tabs>
          <w:tab w:val="left" w:pos="9639"/>
        </w:tabs>
        <w:jc w:val="both"/>
        <w:rPr>
          <w:sz w:val="26"/>
          <w:szCs w:val="26"/>
        </w:rPr>
      </w:pPr>
    </w:p>
    <w:p w14:paraId="07962280" w14:textId="77777777" w:rsidR="0045448B" w:rsidRDefault="00000000">
      <w:pPr>
        <w:pStyle w:val="a0"/>
        <w:widowControl/>
        <w:tabs>
          <w:tab w:val="left" w:pos="9639"/>
        </w:tabs>
        <w:jc w:val="both"/>
      </w:pPr>
      <w:r>
        <w:rPr>
          <w:rStyle w:val="ad"/>
          <w:rFonts w:cs="Times New Roman"/>
          <w:bCs/>
          <w:sz w:val="18"/>
          <w:szCs w:val="18"/>
        </w:rPr>
        <w:t>КОВАЛЬОВ Валерій</w:t>
      </w:r>
    </w:p>
    <w:p w14:paraId="25B62ABF" w14:textId="77777777" w:rsidR="0045448B" w:rsidRDefault="0045448B">
      <w:pPr>
        <w:pStyle w:val="a0"/>
        <w:widowControl/>
        <w:tabs>
          <w:tab w:val="left" w:pos="9639"/>
        </w:tabs>
        <w:jc w:val="both"/>
        <w:rPr>
          <w:rFonts w:cs="Times New Roman"/>
          <w:sz w:val="16"/>
          <w:szCs w:val="16"/>
        </w:rPr>
      </w:pPr>
    </w:p>
    <w:p w14:paraId="5892953C" w14:textId="77777777" w:rsidR="0045448B" w:rsidRDefault="0045448B">
      <w:pPr>
        <w:pStyle w:val="Standard"/>
        <w:jc w:val="both"/>
        <w:rPr>
          <w:rFonts w:cs="Times New Roman"/>
          <w:sz w:val="16"/>
          <w:szCs w:val="16"/>
        </w:rPr>
      </w:pPr>
    </w:p>
    <w:p w14:paraId="0A741350" w14:textId="77777777" w:rsidR="0045448B" w:rsidRDefault="0045448B">
      <w:pPr>
        <w:pStyle w:val="Standard"/>
        <w:jc w:val="both"/>
        <w:rPr>
          <w:rFonts w:cs="Times New Roman"/>
          <w:sz w:val="16"/>
          <w:szCs w:val="16"/>
        </w:rPr>
      </w:pPr>
    </w:p>
    <w:p w14:paraId="2215A8D9" w14:textId="77777777" w:rsidR="0045448B" w:rsidRDefault="0045448B">
      <w:pPr>
        <w:pStyle w:val="Standard"/>
        <w:jc w:val="both"/>
      </w:pPr>
    </w:p>
    <w:sectPr w:rsidR="0045448B">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18AD" w14:textId="77777777" w:rsidR="00D1541D" w:rsidRDefault="00D1541D">
      <w:r>
        <w:separator/>
      </w:r>
    </w:p>
  </w:endnote>
  <w:endnote w:type="continuationSeparator" w:id="0">
    <w:p w14:paraId="3E8F4B95" w14:textId="77777777" w:rsidR="00D1541D" w:rsidRDefault="00D1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8FF0" w14:textId="77777777" w:rsidR="00D1541D" w:rsidRDefault="00D1541D">
      <w:r>
        <w:rPr>
          <w:color w:val="000000"/>
        </w:rPr>
        <w:separator/>
      </w:r>
    </w:p>
  </w:footnote>
  <w:footnote w:type="continuationSeparator" w:id="0">
    <w:p w14:paraId="48511A6F" w14:textId="77777777" w:rsidR="00D1541D" w:rsidRDefault="00D1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C0EE" w14:textId="77777777" w:rsidR="00000000" w:rsidRDefault="00000000">
    <w:pPr>
      <w:pStyle w:val="a9"/>
      <w:jc w:val="center"/>
    </w:pPr>
    <w:r>
      <w:rPr>
        <w:rStyle w:val="ad"/>
        <w:lang w:val="ru-RU"/>
      </w:rPr>
      <w:fldChar w:fldCharType="begin"/>
    </w:r>
    <w:r>
      <w:rPr>
        <w:rStyle w:val="ad"/>
        <w:lang w:val="ru-RU"/>
      </w:rPr>
      <w:instrText xml:space="preserve"> PAGE </w:instrText>
    </w:r>
    <w:r>
      <w:rPr>
        <w:rStyle w:val="ad"/>
        <w:lang w:val="ru-RU"/>
      </w:rPr>
      <w:fldChar w:fldCharType="separate"/>
    </w:r>
    <w:r>
      <w:rPr>
        <w:rStyle w:val="ad"/>
        <w:lang w:val="ru-RU"/>
      </w:rPr>
      <w:t>4</w:t>
    </w:r>
    <w:r>
      <w:rPr>
        <w:rStyle w:val="ad"/>
        <w:lang w:val="ru-RU"/>
      </w:rPr>
      <w:fldChar w:fldCharType="end"/>
    </w:r>
  </w:p>
  <w:p w14:paraId="53455874"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5099"/>
    <w:multiLevelType w:val="multilevel"/>
    <w:tmpl w:val="A4526952"/>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9E4D88"/>
    <w:multiLevelType w:val="multilevel"/>
    <w:tmpl w:val="5ACCAF68"/>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2C5FBB"/>
    <w:multiLevelType w:val="multilevel"/>
    <w:tmpl w:val="BA4460D4"/>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554000"/>
    <w:multiLevelType w:val="multilevel"/>
    <w:tmpl w:val="17A4522E"/>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E092423"/>
    <w:multiLevelType w:val="multilevel"/>
    <w:tmpl w:val="348655BE"/>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532C64"/>
    <w:multiLevelType w:val="multilevel"/>
    <w:tmpl w:val="57C6C9E4"/>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4C85E9B"/>
    <w:multiLevelType w:val="multilevel"/>
    <w:tmpl w:val="7AFEE75A"/>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50D3C20"/>
    <w:multiLevelType w:val="multilevel"/>
    <w:tmpl w:val="9A506F88"/>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D516401"/>
    <w:multiLevelType w:val="multilevel"/>
    <w:tmpl w:val="94D8C4AA"/>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E4B54BD"/>
    <w:multiLevelType w:val="multilevel"/>
    <w:tmpl w:val="56D6CCAE"/>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E85165E"/>
    <w:multiLevelType w:val="multilevel"/>
    <w:tmpl w:val="9C98E9DC"/>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F647276"/>
    <w:multiLevelType w:val="multilevel"/>
    <w:tmpl w:val="C798ADC6"/>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2D1F59"/>
    <w:multiLevelType w:val="multilevel"/>
    <w:tmpl w:val="8D6A9DDA"/>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13A56C1"/>
    <w:multiLevelType w:val="multilevel"/>
    <w:tmpl w:val="C76AA7E2"/>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45A56D9"/>
    <w:multiLevelType w:val="multilevel"/>
    <w:tmpl w:val="3B70A60E"/>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FA3338C"/>
    <w:multiLevelType w:val="multilevel"/>
    <w:tmpl w:val="9BCA2090"/>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04502FD"/>
    <w:multiLevelType w:val="multilevel"/>
    <w:tmpl w:val="8866173A"/>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6D71FEE"/>
    <w:multiLevelType w:val="multilevel"/>
    <w:tmpl w:val="5470AB52"/>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E464BBB"/>
    <w:multiLevelType w:val="multilevel"/>
    <w:tmpl w:val="F5E858F4"/>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FF848D5"/>
    <w:multiLevelType w:val="multilevel"/>
    <w:tmpl w:val="BE3443EC"/>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0C47108"/>
    <w:multiLevelType w:val="multilevel"/>
    <w:tmpl w:val="128016B4"/>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1A31BD"/>
    <w:multiLevelType w:val="multilevel"/>
    <w:tmpl w:val="DB5CEB7E"/>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8552DBF"/>
    <w:multiLevelType w:val="multilevel"/>
    <w:tmpl w:val="73563BEC"/>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C29102D"/>
    <w:multiLevelType w:val="multilevel"/>
    <w:tmpl w:val="7436E12A"/>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D7554ED"/>
    <w:multiLevelType w:val="multilevel"/>
    <w:tmpl w:val="A0B491E6"/>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F6C2F12"/>
    <w:multiLevelType w:val="multilevel"/>
    <w:tmpl w:val="24705B42"/>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C52764A"/>
    <w:multiLevelType w:val="multilevel"/>
    <w:tmpl w:val="6ED2F85C"/>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D9A262A"/>
    <w:multiLevelType w:val="multilevel"/>
    <w:tmpl w:val="95D20D52"/>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00D2C5F"/>
    <w:multiLevelType w:val="multilevel"/>
    <w:tmpl w:val="E6E0A090"/>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653C0A"/>
    <w:multiLevelType w:val="multilevel"/>
    <w:tmpl w:val="28CA4246"/>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5FF4633"/>
    <w:multiLevelType w:val="multilevel"/>
    <w:tmpl w:val="CC2C3276"/>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685543D"/>
    <w:multiLevelType w:val="multilevel"/>
    <w:tmpl w:val="049E5E54"/>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AA3329C"/>
    <w:multiLevelType w:val="multilevel"/>
    <w:tmpl w:val="785CD2CE"/>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E0D316B"/>
    <w:multiLevelType w:val="multilevel"/>
    <w:tmpl w:val="0C62906C"/>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FF13156"/>
    <w:multiLevelType w:val="multilevel"/>
    <w:tmpl w:val="E0AA9C64"/>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26E3ABF"/>
    <w:multiLevelType w:val="multilevel"/>
    <w:tmpl w:val="FD5AE9CA"/>
    <w:styleLink w:val="WWOutlineListStyle3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9630E75"/>
    <w:multiLevelType w:val="multilevel"/>
    <w:tmpl w:val="C7BE7ED2"/>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9F3384E"/>
    <w:multiLevelType w:val="multilevel"/>
    <w:tmpl w:val="71A0941E"/>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C686D45"/>
    <w:multiLevelType w:val="multilevel"/>
    <w:tmpl w:val="60FE8390"/>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CE112D9"/>
    <w:multiLevelType w:val="multilevel"/>
    <w:tmpl w:val="9D2AEA12"/>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35034410">
    <w:abstractNumId w:val="28"/>
  </w:num>
  <w:num w:numId="2" w16cid:durableId="1451782820">
    <w:abstractNumId w:val="35"/>
  </w:num>
  <w:num w:numId="3" w16cid:durableId="122047150">
    <w:abstractNumId w:val="19"/>
  </w:num>
  <w:num w:numId="4" w16cid:durableId="1993370146">
    <w:abstractNumId w:val="18"/>
  </w:num>
  <w:num w:numId="5" w16cid:durableId="2027822625">
    <w:abstractNumId w:val="37"/>
  </w:num>
  <w:num w:numId="6" w16cid:durableId="841699977">
    <w:abstractNumId w:val="8"/>
  </w:num>
  <w:num w:numId="7" w16cid:durableId="112599692">
    <w:abstractNumId w:val="13"/>
  </w:num>
  <w:num w:numId="8" w16cid:durableId="1439835415">
    <w:abstractNumId w:val="38"/>
  </w:num>
  <w:num w:numId="9" w16cid:durableId="198472473">
    <w:abstractNumId w:val="3"/>
  </w:num>
  <w:num w:numId="10" w16cid:durableId="262224776">
    <w:abstractNumId w:val="31"/>
  </w:num>
  <w:num w:numId="11" w16cid:durableId="1399086532">
    <w:abstractNumId w:val="1"/>
  </w:num>
  <w:num w:numId="12" w16cid:durableId="208686572">
    <w:abstractNumId w:val="33"/>
  </w:num>
  <w:num w:numId="13" w16cid:durableId="1885874106">
    <w:abstractNumId w:val="14"/>
  </w:num>
  <w:num w:numId="14" w16cid:durableId="825977627">
    <w:abstractNumId w:val="20"/>
  </w:num>
  <w:num w:numId="15" w16cid:durableId="2113085557">
    <w:abstractNumId w:val="17"/>
  </w:num>
  <w:num w:numId="16" w16cid:durableId="1501239769">
    <w:abstractNumId w:val="24"/>
  </w:num>
  <w:num w:numId="17" w16cid:durableId="1043871996">
    <w:abstractNumId w:val="26"/>
  </w:num>
  <w:num w:numId="18" w16cid:durableId="519052334">
    <w:abstractNumId w:val="30"/>
  </w:num>
  <w:num w:numId="19" w16cid:durableId="256518553">
    <w:abstractNumId w:val="22"/>
  </w:num>
  <w:num w:numId="20" w16cid:durableId="1664238389">
    <w:abstractNumId w:val="9"/>
  </w:num>
  <w:num w:numId="21" w16cid:durableId="1893806636">
    <w:abstractNumId w:val="5"/>
  </w:num>
  <w:num w:numId="22" w16cid:durableId="614824414">
    <w:abstractNumId w:val="39"/>
  </w:num>
  <w:num w:numId="23" w16cid:durableId="2053730034">
    <w:abstractNumId w:val="6"/>
  </w:num>
  <w:num w:numId="24" w16cid:durableId="1562130399">
    <w:abstractNumId w:val="4"/>
  </w:num>
  <w:num w:numId="25" w16cid:durableId="544293903">
    <w:abstractNumId w:val="12"/>
  </w:num>
  <w:num w:numId="26" w16cid:durableId="1420447667">
    <w:abstractNumId w:val="15"/>
  </w:num>
  <w:num w:numId="27" w16cid:durableId="1111558698">
    <w:abstractNumId w:val="27"/>
  </w:num>
  <w:num w:numId="28" w16cid:durableId="490681386">
    <w:abstractNumId w:val="7"/>
  </w:num>
  <w:num w:numId="29" w16cid:durableId="1701932594">
    <w:abstractNumId w:val="32"/>
  </w:num>
  <w:num w:numId="30" w16cid:durableId="617373033">
    <w:abstractNumId w:val="16"/>
  </w:num>
  <w:num w:numId="31" w16cid:durableId="1181970651">
    <w:abstractNumId w:val="23"/>
  </w:num>
  <w:num w:numId="32" w16cid:durableId="1872036440">
    <w:abstractNumId w:val="21"/>
  </w:num>
  <w:num w:numId="33" w16cid:durableId="354580724">
    <w:abstractNumId w:val="10"/>
  </w:num>
  <w:num w:numId="34" w16cid:durableId="403067911">
    <w:abstractNumId w:val="34"/>
  </w:num>
  <w:num w:numId="35" w16cid:durableId="802817631">
    <w:abstractNumId w:val="25"/>
  </w:num>
  <w:num w:numId="36" w16cid:durableId="422991637">
    <w:abstractNumId w:val="11"/>
  </w:num>
  <w:num w:numId="37" w16cid:durableId="550507480">
    <w:abstractNumId w:val="2"/>
  </w:num>
  <w:num w:numId="38" w16cid:durableId="1758363438">
    <w:abstractNumId w:val="0"/>
  </w:num>
  <w:num w:numId="39" w16cid:durableId="98569599">
    <w:abstractNumId w:val="29"/>
  </w:num>
  <w:num w:numId="40" w16cid:durableId="14078734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448B"/>
    <w:rsid w:val="0045448B"/>
    <w:rsid w:val="005B275E"/>
    <w:rsid w:val="00D1541D"/>
    <w:rsid w:val="00E114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5AD2"/>
  <w15:docId w15:val="{75C9078D-A8F2-4C45-9A8D-07073F98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paragraph" w:styleId="2">
    <w:name w:val="heading 2"/>
    <w:basedOn w:val="Heading"/>
    <w:next w:val="Textbody"/>
    <w:uiPriority w:val="9"/>
    <w:semiHidden/>
    <w:unhideWhenUsed/>
    <w:qFormat/>
    <w:pPr>
      <w:spacing w:before="200"/>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0">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pPr>
    <w:rPr>
      <w:rFonts w:ascii="Liberation Serif" w:eastAsia="SimSun" w:hAnsi="Liberation Serif" w:cs="Arial"/>
      <w:color w:val="00000A"/>
      <w:lang w:eastAsia="zh-CN" w:bidi="hi-IN"/>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Standard"/>
    <w:pPr>
      <w:suppressLineNumbers/>
      <w:tabs>
        <w:tab w:val="center" w:pos="4819"/>
        <w:tab w:val="right" w:pos="9638"/>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paragraph" w:customStyle="1" w:styleId="ac">
    <w:name w:val="Содержимое таблицы"/>
    <w:basedOn w:val="Standard"/>
    <w:pPr>
      <w:suppressLineNumbers/>
    </w:pPr>
    <w:rPr>
      <w:rFonts w:eastAsia="Times New Roman" w:cs="Times New Roman"/>
      <w:color w:val="00000A"/>
      <w:kern w:val="0"/>
      <w:lang w:eastAsia="ar-SA"/>
    </w:rPr>
  </w:style>
  <w:style w:type="character" w:customStyle="1" w:styleId="ad">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d"/>
    <w:rPr>
      <w:rFonts w:eastAsia="Times New Roman" w:cs="Times New Roman"/>
      <w:kern w:val="0"/>
      <w:sz w:val="28"/>
      <w:szCs w:val="20"/>
      <w:lang w:eastAsia="zh-CN"/>
    </w:rPr>
  </w:style>
  <w:style w:type="character" w:customStyle="1" w:styleId="ae">
    <w:name w:val="Основной текст Знак"/>
    <w:basedOn w:val="ad"/>
    <w:rPr>
      <w:rFonts w:eastAsia="Times New Roman" w:cs="Times New Roman"/>
      <w:b/>
      <w:kern w:val="0"/>
      <w:sz w:val="28"/>
      <w:szCs w:val="20"/>
      <w:lang w:eastAsia="zh-CN"/>
    </w:rPr>
  </w:style>
  <w:style w:type="character" w:customStyle="1" w:styleId="af">
    <w:name w:val="Текст выноски Знак"/>
    <w:basedOn w:val="ad"/>
    <w:rPr>
      <w:rFonts w:ascii="Segoe UI" w:eastAsia="Segoe UI" w:hAnsi="Segoe UI" w:cs="Segoe UI"/>
      <w:sz w:val="18"/>
      <w:szCs w:val="18"/>
    </w:rPr>
  </w:style>
  <w:style w:type="character" w:customStyle="1" w:styleId="af0">
    <w:name w:val="Верхний колонтитул Знак"/>
    <w:basedOn w:val="ad"/>
  </w:style>
  <w:style w:type="character" w:customStyle="1" w:styleId="af1">
    <w:name w:val="Нижний колонтитул Знак"/>
    <w:basedOn w:val="ad"/>
  </w:style>
  <w:style w:type="character" w:customStyle="1" w:styleId="211pt">
    <w:name w:val="Основной текст (2) + 11 pt"/>
    <w:basedOn w:val="ad"/>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rPr>
  </w:style>
  <w:style w:type="character" w:customStyle="1" w:styleId="af2">
    <w:name w:val="Выделение"/>
    <w:rPr>
      <w:i/>
      <w:iCs/>
    </w:rPr>
  </w:style>
  <w:style w:type="numbering" w:customStyle="1" w:styleId="WWOutlineListStyle38">
    <w:name w:val="WW_OutlineListStyle_38"/>
    <w:basedOn w:val="a3"/>
    <w:pPr>
      <w:numPr>
        <w:numId w:val="2"/>
      </w:numPr>
    </w:pPr>
  </w:style>
  <w:style w:type="numbering" w:customStyle="1" w:styleId="WWOutlineListStyle37">
    <w:name w:val="WW_OutlineListStyle_37"/>
    <w:basedOn w:val="a3"/>
    <w:pPr>
      <w:numPr>
        <w:numId w:val="3"/>
      </w:numPr>
    </w:pPr>
  </w:style>
  <w:style w:type="numbering" w:customStyle="1" w:styleId="WWOutlineListStyle36">
    <w:name w:val="WW_OutlineListStyle_36"/>
    <w:basedOn w:val="a3"/>
    <w:pPr>
      <w:numPr>
        <w:numId w:val="4"/>
      </w:numPr>
    </w:pPr>
  </w:style>
  <w:style w:type="numbering" w:customStyle="1" w:styleId="WWOutlineListStyle35">
    <w:name w:val="WW_OutlineListStyle_35"/>
    <w:basedOn w:val="a3"/>
    <w:pPr>
      <w:numPr>
        <w:numId w:val="5"/>
      </w:numPr>
    </w:pPr>
  </w:style>
  <w:style w:type="numbering" w:customStyle="1" w:styleId="WWOutlineListStyle34">
    <w:name w:val="WW_OutlineListStyle_34"/>
    <w:basedOn w:val="a3"/>
    <w:pPr>
      <w:numPr>
        <w:numId w:val="6"/>
      </w:numPr>
    </w:pPr>
  </w:style>
  <w:style w:type="numbering" w:customStyle="1" w:styleId="WWOutlineListStyle33">
    <w:name w:val="WW_OutlineListStyle_33"/>
    <w:basedOn w:val="a3"/>
    <w:pPr>
      <w:numPr>
        <w:numId w:val="7"/>
      </w:numPr>
    </w:pPr>
  </w:style>
  <w:style w:type="numbering" w:customStyle="1" w:styleId="WWOutlineListStyle32">
    <w:name w:val="WW_OutlineListStyle_32"/>
    <w:basedOn w:val="a3"/>
    <w:pPr>
      <w:numPr>
        <w:numId w:val="8"/>
      </w:numPr>
    </w:pPr>
  </w:style>
  <w:style w:type="numbering" w:customStyle="1" w:styleId="WWOutlineListStyle31">
    <w:name w:val="WW_OutlineListStyle_31"/>
    <w:basedOn w:val="a3"/>
    <w:pPr>
      <w:numPr>
        <w:numId w:val="9"/>
      </w:numPr>
    </w:pPr>
  </w:style>
  <w:style w:type="numbering" w:customStyle="1" w:styleId="WWOutlineListStyle30">
    <w:name w:val="WW_OutlineListStyle_30"/>
    <w:basedOn w:val="a3"/>
    <w:pPr>
      <w:numPr>
        <w:numId w:val="10"/>
      </w:numPr>
    </w:pPr>
  </w:style>
  <w:style w:type="numbering" w:customStyle="1" w:styleId="WWOutlineListStyle29">
    <w:name w:val="WW_OutlineListStyle_29"/>
    <w:basedOn w:val="a3"/>
    <w:pPr>
      <w:numPr>
        <w:numId w:val="11"/>
      </w:numPr>
    </w:pPr>
  </w:style>
  <w:style w:type="numbering" w:customStyle="1" w:styleId="WWOutlineListStyle28">
    <w:name w:val="WW_OutlineListStyle_28"/>
    <w:basedOn w:val="a3"/>
    <w:pPr>
      <w:numPr>
        <w:numId w:val="12"/>
      </w:numPr>
    </w:pPr>
  </w:style>
  <w:style w:type="numbering" w:customStyle="1" w:styleId="WWOutlineListStyle27">
    <w:name w:val="WW_OutlineListStyle_27"/>
    <w:basedOn w:val="a3"/>
    <w:pPr>
      <w:numPr>
        <w:numId w:val="13"/>
      </w:numPr>
    </w:pPr>
  </w:style>
  <w:style w:type="numbering" w:customStyle="1" w:styleId="WWOutlineListStyle26">
    <w:name w:val="WW_OutlineListStyle_26"/>
    <w:basedOn w:val="a3"/>
    <w:pPr>
      <w:numPr>
        <w:numId w:val="14"/>
      </w:numPr>
    </w:pPr>
  </w:style>
  <w:style w:type="numbering" w:customStyle="1" w:styleId="WWOutlineListStyle25">
    <w:name w:val="WW_OutlineListStyle_25"/>
    <w:basedOn w:val="a3"/>
    <w:pPr>
      <w:numPr>
        <w:numId w:val="15"/>
      </w:numPr>
    </w:pPr>
  </w:style>
  <w:style w:type="numbering" w:customStyle="1" w:styleId="WWOutlineListStyle24">
    <w:name w:val="WW_OutlineListStyle_24"/>
    <w:basedOn w:val="a3"/>
    <w:pPr>
      <w:numPr>
        <w:numId w:val="16"/>
      </w:numPr>
    </w:pPr>
  </w:style>
  <w:style w:type="numbering" w:customStyle="1" w:styleId="WWOutlineListStyle23">
    <w:name w:val="WW_OutlineListStyle_23"/>
    <w:basedOn w:val="a3"/>
    <w:pPr>
      <w:numPr>
        <w:numId w:val="17"/>
      </w:numPr>
    </w:pPr>
  </w:style>
  <w:style w:type="numbering" w:customStyle="1" w:styleId="WWOutlineListStyle22">
    <w:name w:val="WW_OutlineListStyle_22"/>
    <w:basedOn w:val="a3"/>
    <w:pPr>
      <w:numPr>
        <w:numId w:val="18"/>
      </w:numPr>
    </w:pPr>
  </w:style>
  <w:style w:type="numbering" w:customStyle="1" w:styleId="WWOutlineListStyle21">
    <w:name w:val="WW_OutlineListStyle_21"/>
    <w:basedOn w:val="a3"/>
    <w:pPr>
      <w:numPr>
        <w:numId w:val="19"/>
      </w:numPr>
    </w:pPr>
  </w:style>
  <w:style w:type="numbering" w:customStyle="1" w:styleId="WWOutlineListStyle20">
    <w:name w:val="WW_OutlineListStyle_20"/>
    <w:basedOn w:val="a3"/>
    <w:pPr>
      <w:numPr>
        <w:numId w:val="20"/>
      </w:numPr>
    </w:pPr>
  </w:style>
  <w:style w:type="numbering" w:customStyle="1" w:styleId="WWOutlineListStyle19">
    <w:name w:val="WW_OutlineListStyle_19"/>
    <w:basedOn w:val="a3"/>
    <w:pPr>
      <w:numPr>
        <w:numId w:val="21"/>
      </w:numPr>
    </w:pPr>
  </w:style>
  <w:style w:type="numbering" w:customStyle="1" w:styleId="WWOutlineListStyle18">
    <w:name w:val="WW_OutlineListStyle_18"/>
    <w:basedOn w:val="a3"/>
    <w:pPr>
      <w:numPr>
        <w:numId w:val="22"/>
      </w:numPr>
    </w:pPr>
  </w:style>
  <w:style w:type="numbering" w:customStyle="1" w:styleId="WWOutlineListStyle17">
    <w:name w:val="WW_OutlineListStyle_17"/>
    <w:basedOn w:val="a3"/>
    <w:pPr>
      <w:numPr>
        <w:numId w:val="23"/>
      </w:numPr>
    </w:pPr>
  </w:style>
  <w:style w:type="numbering" w:customStyle="1" w:styleId="WWOutlineListStyle16">
    <w:name w:val="WW_OutlineListStyle_16"/>
    <w:basedOn w:val="a3"/>
    <w:pPr>
      <w:numPr>
        <w:numId w:val="24"/>
      </w:numPr>
    </w:pPr>
  </w:style>
  <w:style w:type="numbering" w:customStyle="1" w:styleId="WWOutlineListStyle15">
    <w:name w:val="WW_OutlineListStyle_15"/>
    <w:basedOn w:val="a3"/>
    <w:pPr>
      <w:numPr>
        <w:numId w:val="25"/>
      </w:numPr>
    </w:pPr>
  </w:style>
  <w:style w:type="numbering" w:customStyle="1" w:styleId="WWOutlineListStyle14">
    <w:name w:val="WW_OutlineListStyle_14"/>
    <w:basedOn w:val="a3"/>
    <w:pPr>
      <w:numPr>
        <w:numId w:val="26"/>
      </w:numPr>
    </w:pPr>
  </w:style>
  <w:style w:type="numbering" w:customStyle="1" w:styleId="WWOutlineListStyle13">
    <w:name w:val="WW_OutlineListStyle_13"/>
    <w:basedOn w:val="a3"/>
    <w:pPr>
      <w:numPr>
        <w:numId w:val="27"/>
      </w:numPr>
    </w:pPr>
  </w:style>
  <w:style w:type="numbering" w:customStyle="1" w:styleId="WWOutlineListStyle12">
    <w:name w:val="WW_OutlineListStyle_12"/>
    <w:basedOn w:val="a3"/>
    <w:pPr>
      <w:numPr>
        <w:numId w:val="28"/>
      </w:numPr>
    </w:pPr>
  </w:style>
  <w:style w:type="numbering" w:customStyle="1" w:styleId="WWOutlineListStyle11">
    <w:name w:val="WW_OutlineListStyle_11"/>
    <w:basedOn w:val="a3"/>
    <w:pPr>
      <w:numPr>
        <w:numId w:val="29"/>
      </w:numPr>
    </w:pPr>
  </w:style>
  <w:style w:type="numbering" w:customStyle="1" w:styleId="WWOutlineListStyle10">
    <w:name w:val="WW_OutlineListStyle_10"/>
    <w:basedOn w:val="a3"/>
    <w:pPr>
      <w:numPr>
        <w:numId w:val="30"/>
      </w:numPr>
    </w:pPr>
  </w:style>
  <w:style w:type="numbering" w:customStyle="1" w:styleId="WWOutlineListStyle9">
    <w:name w:val="WW_OutlineListStyle_9"/>
    <w:basedOn w:val="a3"/>
    <w:pPr>
      <w:numPr>
        <w:numId w:val="31"/>
      </w:numPr>
    </w:pPr>
  </w:style>
  <w:style w:type="numbering" w:customStyle="1" w:styleId="WWOutlineListStyle8">
    <w:name w:val="WW_OutlineListStyle_8"/>
    <w:basedOn w:val="a3"/>
    <w:pPr>
      <w:numPr>
        <w:numId w:val="32"/>
      </w:numPr>
    </w:pPr>
  </w:style>
  <w:style w:type="numbering" w:customStyle="1" w:styleId="WWOutlineListStyle7">
    <w:name w:val="WW_OutlineListStyle_7"/>
    <w:basedOn w:val="a3"/>
    <w:pPr>
      <w:numPr>
        <w:numId w:val="33"/>
      </w:numPr>
    </w:pPr>
  </w:style>
  <w:style w:type="numbering" w:customStyle="1" w:styleId="WWOutlineListStyle6">
    <w:name w:val="WW_OutlineListStyle_6"/>
    <w:basedOn w:val="a3"/>
    <w:pPr>
      <w:numPr>
        <w:numId w:val="34"/>
      </w:numPr>
    </w:pPr>
  </w:style>
  <w:style w:type="numbering" w:customStyle="1" w:styleId="WWOutlineListStyle5">
    <w:name w:val="WW_OutlineListStyle_5"/>
    <w:basedOn w:val="a3"/>
    <w:pPr>
      <w:numPr>
        <w:numId w:val="35"/>
      </w:numPr>
    </w:pPr>
  </w:style>
  <w:style w:type="numbering" w:customStyle="1" w:styleId="WWOutlineListStyle4">
    <w:name w:val="WW_OutlineListStyle_4"/>
    <w:basedOn w:val="a3"/>
    <w:pPr>
      <w:numPr>
        <w:numId w:val="36"/>
      </w:numPr>
    </w:pPr>
  </w:style>
  <w:style w:type="numbering" w:customStyle="1" w:styleId="WWOutlineListStyle3">
    <w:name w:val="WW_OutlineListStyle_3"/>
    <w:basedOn w:val="a3"/>
    <w:pPr>
      <w:numPr>
        <w:numId w:val="37"/>
      </w:numPr>
    </w:pPr>
  </w:style>
  <w:style w:type="numbering" w:customStyle="1" w:styleId="WWOutlineListStyle2">
    <w:name w:val="WW_OutlineListStyle_2"/>
    <w:basedOn w:val="a3"/>
    <w:pPr>
      <w:numPr>
        <w:numId w:val="38"/>
      </w:numPr>
    </w:pPr>
  </w:style>
  <w:style w:type="numbering" w:customStyle="1" w:styleId="WWOutlineListStyle1">
    <w:name w:val="WW_OutlineListStyle_1"/>
    <w:basedOn w:val="a3"/>
    <w:pPr>
      <w:numPr>
        <w:numId w:val="39"/>
      </w:numPr>
    </w:pPr>
  </w:style>
  <w:style w:type="numbering" w:customStyle="1" w:styleId="WWOutlineListStyle">
    <w:name w:val="WW_OutlineListStyle"/>
    <w:basedOn w:val="a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9326</Words>
  <Characters>5317</Characters>
  <Application>Microsoft Office Word</Application>
  <DocSecurity>0</DocSecurity>
  <Lines>44</Lines>
  <Paragraphs>29</Paragraphs>
  <ScaleCrop>false</ScaleCrop>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2025-07-10T12:37:00Z</dcterms:created>
  <dcterms:modified xsi:type="dcterms:W3CDTF">2025-07-10T12:37:00Z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