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FB86" w14:textId="77777777" w:rsidR="00B0123E" w:rsidRDefault="00000000">
      <w:pPr>
        <w:pStyle w:val="Standard"/>
        <w:jc w:val="center"/>
      </w:pPr>
      <w:r>
        <w:rPr>
          <w:rStyle w:val="ad"/>
          <w:rFonts w:cs="Times New Roman"/>
          <w:b/>
          <w:sz w:val="28"/>
          <w:szCs w:val="28"/>
        </w:rPr>
        <w:t>З В І Т</w:t>
      </w:r>
    </w:p>
    <w:p w14:paraId="23CE00E6" w14:textId="77777777" w:rsidR="00B0123E" w:rsidRDefault="00000000">
      <w:pPr>
        <w:pStyle w:val="Standard"/>
        <w:jc w:val="center"/>
        <w:rPr>
          <w:rFonts w:cs="Times New Roman"/>
          <w:b/>
          <w:sz w:val="28"/>
          <w:szCs w:val="28"/>
        </w:rPr>
      </w:pPr>
      <w:r>
        <w:rPr>
          <w:rFonts w:cs="Times New Roman"/>
          <w:b/>
          <w:sz w:val="28"/>
          <w:szCs w:val="28"/>
        </w:rPr>
        <w:t>про результати роботи управління запобігання</w:t>
      </w:r>
    </w:p>
    <w:p w14:paraId="31053A64" w14:textId="77777777" w:rsidR="00B0123E" w:rsidRDefault="00000000">
      <w:pPr>
        <w:pStyle w:val="Standard"/>
        <w:jc w:val="center"/>
        <w:rPr>
          <w:rFonts w:cs="Times New Roman"/>
          <w:b/>
          <w:sz w:val="28"/>
          <w:szCs w:val="28"/>
        </w:rPr>
      </w:pPr>
      <w:r>
        <w:rPr>
          <w:rFonts w:cs="Times New Roman"/>
          <w:b/>
          <w:sz w:val="28"/>
          <w:szCs w:val="28"/>
        </w:rPr>
        <w:t>та виявлення корупції облдержадміністрації</w:t>
      </w:r>
    </w:p>
    <w:p w14:paraId="309DE911" w14:textId="77777777" w:rsidR="00B0123E" w:rsidRDefault="00000000">
      <w:pPr>
        <w:pStyle w:val="Standard"/>
        <w:jc w:val="center"/>
        <w:rPr>
          <w:rFonts w:cs="Times New Roman"/>
          <w:b/>
          <w:sz w:val="28"/>
          <w:szCs w:val="28"/>
        </w:rPr>
      </w:pPr>
      <w:r>
        <w:rPr>
          <w:rFonts w:cs="Times New Roman"/>
          <w:b/>
          <w:sz w:val="28"/>
          <w:szCs w:val="28"/>
        </w:rPr>
        <w:t>за 9 місяців 2023 року</w:t>
      </w:r>
    </w:p>
    <w:p w14:paraId="350309BE" w14:textId="77777777" w:rsidR="00B0123E" w:rsidRDefault="00B0123E">
      <w:pPr>
        <w:pStyle w:val="Standard"/>
        <w:jc w:val="center"/>
        <w:rPr>
          <w:rFonts w:cs="Times New Roman"/>
          <w:b/>
          <w:sz w:val="28"/>
          <w:szCs w:val="28"/>
        </w:rPr>
      </w:pPr>
    </w:p>
    <w:p w14:paraId="50998C53" w14:textId="77777777" w:rsidR="00B0123E" w:rsidRDefault="00B0123E">
      <w:pPr>
        <w:pStyle w:val="Standard"/>
        <w:jc w:val="center"/>
      </w:pPr>
    </w:p>
    <w:p w14:paraId="2DA91EE0" w14:textId="77777777" w:rsidR="00B0123E" w:rsidRDefault="00000000">
      <w:pPr>
        <w:pStyle w:val="Standard"/>
        <w:widowControl/>
        <w:tabs>
          <w:tab w:val="left" w:pos="709"/>
        </w:tabs>
        <w:autoSpaceDE w:val="0"/>
        <w:jc w:val="both"/>
      </w:pPr>
      <w:r>
        <w:rPr>
          <w:rStyle w:val="ad"/>
          <w:sz w:val="26"/>
          <w:szCs w:val="26"/>
        </w:rPr>
        <w:t xml:space="preserve"> </w:t>
      </w:r>
      <w:r>
        <w:rPr>
          <w:rStyle w:val="ad"/>
          <w:sz w:val="26"/>
          <w:szCs w:val="26"/>
        </w:rPr>
        <w:tab/>
        <w:t>Одним із основних завдань управління запобігання та виявлення корупції облдержадміністрації (далі – управління) є забезпечення ефективної реалізації державної політики у сфері запобігання та виявлення корупції у діяльності облдержадміністрації та її структурних підрозділів, а також забезпечення злагодженості та системності антикорупційних заходів з урахуванням особливостей воєнного стану.</w:t>
      </w:r>
    </w:p>
    <w:p w14:paraId="4C123F3B" w14:textId="77777777" w:rsidR="00B0123E" w:rsidRDefault="00000000">
      <w:pPr>
        <w:pStyle w:val="Standard"/>
        <w:widowControl/>
        <w:jc w:val="both"/>
      </w:pPr>
      <w:r>
        <w:rPr>
          <w:rStyle w:val="ad"/>
          <w:sz w:val="26"/>
          <w:szCs w:val="26"/>
        </w:rPr>
        <w:tab/>
        <w:t>За результатами</w:t>
      </w:r>
      <w:r>
        <w:rPr>
          <w:rStyle w:val="ad"/>
          <w:rFonts w:eastAsia="SimSun" w:cs="Times New Roman"/>
          <w:color w:val="00000A"/>
          <w:sz w:val="26"/>
          <w:szCs w:val="26"/>
          <w:shd w:val="clear" w:color="auto" w:fill="FFFFFF"/>
          <w:lang w:eastAsia="zh-CN" w:bidi="hi-IN"/>
        </w:rPr>
        <w:t xml:space="preserve"> проведення ідентифікації та оцінки корупційних ризиків та виконання в 2022 році заходів, передбачених Антикорупційною програмою Донецької обласної державної адміністрації, обласної військово-цивільної адміністрації на 2021-2023 роки (далі – Антикорупційна програма), затвердженої розпорядженням голови облдержадміністрації, керівника обласної військово-цивільної адміністрації від                 08.02.2021 № 103/5-21, погодженої рішенням Національного агентства з питань запобігання корупції (далі - НАЗК) від 11.03.2021 № 161/21,  управлінням</w:t>
      </w:r>
      <w:r>
        <w:rPr>
          <w:sz w:val="26"/>
          <w:szCs w:val="26"/>
        </w:rPr>
        <w:t xml:space="preserve"> було направлено </w:t>
      </w:r>
      <w:r>
        <w:rPr>
          <w:rStyle w:val="ad"/>
          <w:rFonts w:eastAsia="SimSun" w:cs="Times New Roman"/>
          <w:color w:val="00000A"/>
          <w:sz w:val="26"/>
          <w:szCs w:val="26"/>
          <w:shd w:val="clear" w:color="auto" w:fill="FFFFFF"/>
          <w:lang w:eastAsia="zh-CN" w:bidi="hi-IN"/>
        </w:rPr>
        <w:t xml:space="preserve">до </w:t>
      </w:r>
      <w:r>
        <w:rPr>
          <w:sz w:val="26"/>
          <w:szCs w:val="26"/>
        </w:rPr>
        <w:t>НАЗК інформацію від 20.01.2023 № 0.8/15-305/4-22, необхідну для підготовки проєкту щорічної національної доповіді щодо реалізації засад державної антикорупційної політики.</w:t>
      </w:r>
      <w:r>
        <w:rPr>
          <w:sz w:val="26"/>
          <w:szCs w:val="26"/>
        </w:rPr>
        <w:tab/>
      </w:r>
    </w:p>
    <w:p w14:paraId="73109BB0" w14:textId="77777777" w:rsidR="00B0123E" w:rsidRDefault="00000000">
      <w:pPr>
        <w:pStyle w:val="Standard"/>
        <w:widowControl/>
        <w:tabs>
          <w:tab w:val="left" w:pos="5100"/>
        </w:tabs>
        <w:jc w:val="both"/>
      </w:pPr>
      <w:r>
        <w:rPr>
          <w:rStyle w:val="cef1edeee2edeee9f8f0e8f4f2e0e1e7e0f6e0"/>
          <w:rFonts w:eastAsia="SimSun" w:cs="Times New Roman"/>
          <w:color w:val="00000A"/>
          <w:sz w:val="26"/>
          <w:szCs w:val="26"/>
          <w:shd w:val="clear" w:color="auto" w:fill="FFFFFF"/>
          <w:lang w:eastAsia="zh-CN" w:bidi="hi-IN"/>
        </w:rPr>
        <w:t xml:space="preserve">         В січні поточного року керівники структурних підрозділів облдержадміністрації, відповідальні за виконання заходів Антикорупційної програми, надали до управління інформацію про виконання заходів програми за 2022 рік. Управлінням здійснено узагальнення наданої інформації та підготовлено відповідний звіт до НАЗК.</w:t>
      </w:r>
    </w:p>
    <w:p w14:paraId="5F31A64C" w14:textId="77777777" w:rsidR="00B0123E" w:rsidRDefault="00000000">
      <w:pPr>
        <w:pStyle w:val="Standard"/>
        <w:widowControl/>
        <w:tabs>
          <w:tab w:val="left" w:pos="5100"/>
        </w:tabs>
        <w:jc w:val="both"/>
      </w:pPr>
      <w:r>
        <w:rPr>
          <w:rStyle w:val="cef1edeee2edeee9f8f0e8f4f2e0e1e7e0f6e0"/>
          <w:rFonts w:eastAsia="SimSun" w:cs="Times New Roman"/>
          <w:color w:val="00000A"/>
          <w:sz w:val="26"/>
          <w:szCs w:val="26"/>
          <w:shd w:val="clear" w:color="auto" w:fill="FFFFFF"/>
          <w:lang w:eastAsia="zh-CN" w:bidi="hi-IN"/>
        </w:rPr>
        <w:t xml:space="preserve">       Цей звіт на вимогу НАЗК був поданий управлінням через “Електронний кабінет уповноваженого” на Антикорупційному порталі НАЗК 06 лютого 2023 року, про що НАЗК було поінформовано листом від </w:t>
      </w:r>
      <w:r>
        <w:rPr>
          <w:rStyle w:val="cef1edeee2edeee9f8f0e8f4f2e0e1e7e0f6e0"/>
          <w:rFonts w:eastAsia="SimSun" w:cs="Times New Roman"/>
          <w:color w:val="00000A"/>
          <w:sz w:val="26"/>
          <w:szCs w:val="26"/>
          <w:shd w:val="clear" w:color="auto" w:fill="FFFFFF"/>
          <w:lang w:val="en-US" w:eastAsia="zh-CN" w:bidi="hi-IN"/>
        </w:rPr>
        <w:t>08.02.2023</w:t>
      </w:r>
      <w:r>
        <w:rPr>
          <w:rStyle w:val="cef1edeee2edeee9f8f0e8f4f2e0e1e7e0f6e0"/>
          <w:rFonts w:eastAsia="SimSun" w:cs="Times New Roman"/>
          <w:color w:val="00000A"/>
          <w:sz w:val="26"/>
          <w:szCs w:val="26"/>
          <w:shd w:val="clear" w:color="auto" w:fill="FFFFFF"/>
          <w:lang w:eastAsia="zh-CN" w:bidi="hi-IN"/>
        </w:rPr>
        <w:t xml:space="preserve"> № </w:t>
      </w:r>
      <w:r>
        <w:rPr>
          <w:rStyle w:val="cef1edeee2edeee9f8f0e8f4f2e0e1e7e0f6e0"/>
          <w:rFonts w:eastAsia="SimSun" w:cs="Times New Roman"/>
          <w:color w:val="00000A"/>
          <w:sz w:val="26"/>
          <w:szCs w:val="26"/>
          <w:shd w:val="clear" w:color="auto" w:fill="FFFFFF"/>
          <w:lang w:val="en-US" w:eastAsia="zh-CN" w:bidi="hi-IN"/>
        </w:rPr>
        <w:t>2/0/347-23.</w:t>
      </w:r>
    </w:p>
    <w:p w14:paraId="0EC59917" w14:textId="77777777" w:rsidR="00B0123E" w:rsidRDefault="00000000">
      <w:pPr>
        <w:pStyle w:val="Standard"/>
        <w:widowControl/>
        <w:tabs>
          <w:tab w:val="left" w:pos="709"/>
          <w:tab w:val="left" w:pos="900"/>
          <w:tab w:val="left" w:pos="1200"/>
          <w:tab w:val="left" w:pos="10155"/>
        </w:tabs>
        <w:autoSpaceDE w:val="0"/>
        <w:jc w:val="both"/>
      </w:pPr>
      <w:r>
        <w:rPr>
          <w:rStyle w:val="ad"/>
          <w:sz w:val="26"/>
          <w:szCs w:val="26"/>
        </w:rPr>
        <w:tab/>
        <w:t>Управлінням з метою здійснення заходів Антикорупційної програми по запобіганню та врегулюванню конфлікту інтересів розроблено проєкт розпорядження голови облдержадміністрації, начальника обласної військової адміністрації від 16.03.2023 № 98/5-23</w:t>
      </w:r>
      <w:bookmarkStart w:id="0" w:name="_GoBack"/>
      <w:bookmarkEnd w:id="0"/>
      <w:r>
        <w:rPr>
          <w:rStyle w:val="ad"/>
          <w:sz w:val="26"/>
          <w:szCs w:val="26"/>
        </w:rPr>
        <w:t xml:space="preserve"> “Про затвердження Порядку запобігання та врегулювання конфлікту інтересів у Донецькій обласній державній адміністрації, обласній військовій адміністрації”, а також було розроблено проєкт розпорядження голови облдержадміністрації, начальника обласної військової адміністрації від 10.08.2023            № 359/5-23 “Про затвердження Кодексу етичної поведінки працівників облдержадміністрації”.</w:t>
      </w:r>
    </w:p>
    <w:p w14:paraId="4D8EB4E9" w14:textId="77777777" w:rsidR="00B0123E" w:rsidRDefault="00000000">
      <w:pPr>
        <w:pStyle w:val="Standard"/>
        <w:widowControl/>
        <w:tabs>
          <w:tab w:val="left" w:pos="390"/>
        </w:tabs>
        <w:autoSpaceDE w:val="0"/>
        <w:jc w:val="both"/>
      </w:pPr>
      <w:r>
        <w:rPr>
          <w:rStyle w:val="ad"/>
          <w:sz w:val="26"/>
          <w:szCs w:val="26"/>
        </w:rPr>
        <w:tab/>
      </w:r>
      <w:r>
        <w:rPr>
          <w:rStyle w:val="ad"/>
          <w:color w:val="FF0000"/>
          <w:sz w:val="26"/>
          <w:szCs w:val="26"/>
        </w:rPr>
        <w:t xml:space="preserve">  </w:t>
      </w:r>
      <w:r>
        <w:rPr>
          <w:rStyle w:val="ad"/>
          <w:sz w:val="26"/>
          <w:szCs w:val="26"/>
        </w:rPr>
        <w:t>На виконання заходів Антикорупційної програми та згідно з Методологією управління корупційними ризиками, затвердженої наказом НАЗК від 28.12.2021                 № 830 (далі - Методологія), управлінням було розроблено проєкт розпорядження голови облдержадміністрації, начальника обласної військової адміністрації від 01.02.2023 № 43/5-23 “Про проведення оцінювання корупційних ризиків”.</w:t>
      </w:r>
    </w:p>
    <w:p w14:paraId="76BF3944" w14:textId="77777777" w:rsidR="00B0123E" w:rsidRDefault="00000000">
      <w:pPr>
        <w:pStyle w:val="Standard"/>
        <w:widowControl/>
        <w:tabs>
          <w:tab w:val="left" w:pos="390"/>
        </w:tabs>
        <w:autoSpaceDE w:val="0"/>
        <w:jc w:val="both"/>
      </w:pPr>
      <w:r>
        <w:rPr>
          <w:rStyle w:val="ad"/>
          <w:sz w:val="26"/>
          <w:szCs w:val="26"/>
        </w:rPr>
        <w:tab/>
        <w:t xml:space="preserve">  На виконання цього розпорядження було розроблено проєкт  розпорядження голови облдержадміністрації, начальника обласної військової адміністрації від 06.04.2023 № 127/5-23 “Про утворення робочої групи з оцінювання корупційних ризиків у діяльності облдержадміністрації та її структурних підрозділів”, сформовано склад робочої групи та затверджено Положення про неї.</w:t>
      </w:r>
    </w:p>
    <w:p w14:paraId="2104D1C0" w14:textId="77777777" w:rsidR="00B0123E" w:rsidRDefault="00000000">
      <w:pPr>
        <w:pStyle w:val="Standard"/>
        <w:jc w:val="both"/>
      </w:pPr>
      <w:r>
        <w:rPr>
          <w:rStyle w:val="cef1edeee2edeee9f8f0e8f4f2e0e1e7e0f6e0"/>
          <w:rFonts w:eastAsia="Calibri" w:cs="Times New Roman"/>
          <w:color w:val="00000A"/>
          <w:sz w:val="26"/>
          <w:szCs w:val="26"/>
          <w:lang w:eastAsia="en-US"/>
        </w:rPr>
        <w:tab/>
        <w:t xml:space="preserve">Згідно з Методологією та з метою підготовки членів робочої групи </w:t>
      </w:r>
      <w:r>
        <w:rPr>
          <w:rStyle w:val="ad"/>
          <w:rFonts w:eastAsia="Calibri" w:cs="Times New Roman"/>
          <w:color w:val="00000A"/>
          <w:sz w:val="26"/>
          <w:szCs w:val="26"/>
          <w:lang w:eastAsia="en-US"/>
        </w:rPr>
        <w:t xml:space="preserve">з оцінювання корупційних ризиків у діяльності облдержадміністрації та її структурних підрозділів (далі — Робоча група) </w:t>
      </w:r>
      <w:r>
        <w:rPr>
          <w:rStyle w:val="cef1edeee2edeee9f8f0e8f4f2e0e1e7e0f6e0"/>
          <w:rFonts w:eastAsia="Calibri" w:cs="Times New Roman"/>
          <w:color w:val="00000A"/>
          <w:sz w:val="26"/>
          <w:szCs w:val="26"/>
          <w:lang w:eastAsia="en-US"/>
        </w:rPr>
        <w:t xml:space="preserve">до процесу оцінювання корупційних ризиків, управлінням </w:t>
      </w:r>
      <w:r>
        <w:rPr>
          <w:rStyle w:val="cef1edeee2edeee9f8f0e8f4f2e0e1e7e0f6e0"/>
          <w:rFonts w:eastAsia="Calibri" w:cs="Times New Roman"/>
          <w:color w:val="00000A"/>
          <w:sz w:val="26"/>
          <w:szCs w:val="26"/>
          <w:lang w:eastAsia="en-US"/>
        </w:rPr>
        <w:lastRenderedPageBreak/>
        <w:t>13.04.2023 було проведено вступний тренінг-навчання для членів робочої групи за темою “Вивчення Методології  управління корупційними ризиками”. Тренінг-навчання було проведено в онлайн-форматі з використанням сервісу відеотелефонного зв’язку “Google Meet”.</w:t>
      </w:r>
    </w:p>
    <w:p w14:paraId="50EF89E4" w14:textId="77777777" w:rsidR="00B0123E" w:rsidRDefault="00000000">
      <w:pPr>
        <w:pStyle w:val="Standard"/>
        <w:jc w:val="both"/>
      </w:pPr>
      <w:r>
        <w:rPr>
          <w:rStyle w:val="cef1edeee2edeee9f8f0e8f4f2e0e1e7e0f6e0"/>
          <w:rFonts w:eastAsia="Calibri" w:cs="Times New Roman"/>
          <w:color w:val="00000A"/>
          <w:sz w:val="26"/>
          <w:szCs w:val="26"/>
          <w:lang w:eastAsia="en-US"/>
        </w:rPr>
        <w:tab/>
        <w:t xml:space="preserve">27.04.2023 головою Робочої групи було затверджено План оцінювання корупційних ризиків та підготовки Антикорупційної програми Донецької облдержадміністрації на 2024-2026 роки (далі - План), який складається с таких розділів: </w:t>
      </w:r>
      <w:r>
        <w:rPr>
          <w:rStyle w:val="cef1edeee2edeee9f8f0e8f4f2e0e1e7e0f6e0"/>
          <w:rFonts w:eastAsia="Calibri" w:cs="Times New Roman"/>
          <w:color w:val="00000A"/>
          <w:sz w:val="26"/>
          <w:szCs w:val="26"/>
          <w:lang w:eastAsia="en-US"/>
        </w:rPr>
        <w:tab/>
      </w:r>
    </w:p>
    <w:p w14:paraId="1089D330" w14:textId="77777777" w:rsidR="00B0123E" w:rsidRDefault="00000000">
      <w:pPr>
        <w:pStyle w:val="Standard"/>
        <w:jc w:val="both"/>
      </w:pPr>
      <w:r>
        <w:rPr>
          <w:rStyle w:val="cef1edeee2edeee9f8f0e8f4f2e0e1e7e0f6e0"/>
          <w:rFonts w:eastAsia="Calibri" w:cs="Times New Roman"/>
          <w:color w:val="00000A"/>
          <w:sz w:val="26"/>
          <w:szCs w:val="26"/>
          <w:lang w:eastAsia="en-US"/>
        </w:rPr>
        <w:tab/>
        <w:t>- дослідження середовища облдержадміністрації та визначення обсягу оцінювання корупційних ризиків;</w:t>
      </w:r>
    </w:p>
    <w:p w14:paraId="1277865F" w14:textId="77777777" w:rsidR="00B0123E" w:rsidRDefault="00000000">
      <w:pPr>
        <w:pStyle w:val="Standard"/>
        <w:jc w:val="both"/>
      </w:pPr>
      <w:r>
        <w:rPr>
          <w:rStyle w:val="cef1edeee2edeee9f8f0e8f4f2e0e1e7e0f6e0"/>
          <w:rFonts w:eastAsia="Calibri" w:cs="Times New Roman"/>
          <w:color w:val="00000A"/>
          <w:sz w:val="26"/>
          <w:szCs w:val="26"/>
          <w:lang w:eastAsia="en-US"/>
        </w:rPr>
        <w:tab/>
        <w:t>-   ідентифікація, аналіз, визначення рівнів корупційних ризиків;</w:t>
      </w:r>
    </w:p>
    <w:p w14:paraId="0E6AAB41" w14:textId="77777777" w:rsidR="00B0123E" w:rsidRDefault="00000000">
      <w:pPr>
        <w:pStyle w:val="Standard"/>
        <w:jc w:val="both"/>
      </w:pPr>
      <w:r>
        <w:rPr>
          <w:rStyle w:val="cef1edeee2edeee9f8f0e8f4f2e0e1e7e0f6e0"/>
          <w:rFonts w:eastAsia="Calibri" w:cs="Times New Roman"/>
          <w:color w:val="00000A"/>
          <w:sz w:val="26"/>
          <w:szCs w:val="26"/>
          <w:lang w:eastAsia="en-US"/>
        </w:rPr>
        <w:tab/>
        <w:t>- підготовка проєкту Антикорупційної програми</w:t>
      </w:r>
      <w:bookmarkStart w:id="1" w:name="__DdeLink__526_2540118237"/>
      <w:r>
        <w:rPr>
          <w:rStyle w:val="cef1edeee2edeee9f8f0e8f4f2e0e1e7e0f6e0"/>
          <w:rFonts w:eastAsia="Calibri" w:cs="Times New Roman"/>
          <w:color w:val="00000A"/>
          <w:sz w:val="26"/>
          <w:szCs w:val="26"/>
          <w:lang w:eastAsia="en-US"/>
        </w:rPr>
        <w:t xml:space="preserve"> </w:t>
      </w:r>
      <w:bookmarkEnd w:id="1"/>
      <w:r>
        <w:rPr>
          <w:rStyle w:val="cef1edeee2edeee9f8f0e8f4f2e0e1e7e0f6e0"/>
          <w:rFonts w:eastAsia="Calibri" w:cs="Times New Roman"/>
          <w:color w:val="00000A"/>
          <w:sz w:val="26"/>
          <w:szCs w:val="26"/>
          <w:lang w:eastAsia="en-US"/>
        </w:rPr>
        <w:t>Донецької облдержадміністрації на 2024-2026 роки.</w:t>
      </w:r>
    </w:p>
    <w:p w14:paraId="2D388DB1" w14:textId="77777777" w:rsidR="00B0123E" w:rsidRDefault="00000000">
      <w:pPr>
        <w:pStyle w:val="Standard"/>
        <w:jc w:val="both"/>
      </w:pPr>
      <w:r>
        <w:rPr>
          <w:rStyle w:val="cef1edeee2edeee9f8f0e8f4f2e0e1e7e0f6e0"/>
          <w:rFonts w:eastAsia="Calibri" w:cs="Times New Roman"/>
          <w:color w:val="00000A"/>
          <w:sz w:val="26"/>
          <w:szCs w:val="26"/>
          <w:lang w:eastAsia="en-US"/>
        </w:rPr>
        <w:tab/>
        <w:t xml:space="preserve">В рамках реалізації заходів Плану </w:t>
      </w:r>
      <w:r>
        <w:rPr>
          <w:rStyle w:val="cef1edeee2edeee9f8f0e8f4f2e0e1e7e0f6e0"/>
          <w:rFonts w:eastAsia="Times New Roman" w:cs="Times New Roman"/>
          <w:color w:val="00000A"/>
          <w:sz w:val="26"/>
          <w:szCs w:val="26"/>
          <w:lang w:eastAsia="ru-RU"/>
        </w:rPr>
        <w:t xml:space="preserve">та з метою дослідження середовища облдержадміністрації, визначення об’єму  оцінювання корупційних ризиків </w:t>
      </w:r>
      <w:r>
        <w:rPr>
          <w:rStyle w:val="cef1edeee2edeee9f8f0e8f4f2e0e1e7e0f6e0"/>
          <w:rFonts w:eastAsia="Calibri" w:cs="Times New Roman"/>
          <w:color w:val="00000A"/>
          <w:sz w:val="26"/>
          <w:szCs w:val="26"/>
          <w:lang w:eastAsia="en-US"/>
        </w:rPr>
        <w:t>управлінням в червні п.р. було проведено</w:t>
      </w:r>
      <w:r>
        <w:rPr>
          <w:rStyle w:val="cef1edeee2edeee9f8f0e8f4f2e0e1e7e0f6e0"/>
          <w:rFonts w:eastAsia="Times New Roman" w:cs="Times New Roman"/>
          <w:color w:val="00000A"/>
          <w:sz w:val="26"/>
          <w:szCs w:val="26"/>
          <w:lang w:eastAsia="ru-RU"/>
        </w:rPr>
        <w:t xml:space="preserve"> </w:t>
      </w:r>
      <w:r>
        <w:rPr>
          <w:rStyle w:val="ad"/>
          <w:rFonts w:eastAsia="Times New Roman" w:cs="Times New Roman"/>
          <w:color w:val="00000A"/>
          <w:sz w:val="26"/>
          <w:szCs w:val="26"/>
          <w:lang w:eastAsia="en-US"/>
        </w:rPr>
        <w:t xml:space="preserve"> анонімне опитування (анкетування) працівників облдержадміністрації. По результатах складено відповідну аналітичну довідку, яка буде розглянута на черговому засіданні Робочої групи.</w:t>
      </w:r>
    </w:p>
    <w:p w14:paraId="6DA0982A" w14:textId="77777777" w:rsidR="00B0123E" w:rsidRDefault="00000000">
      <w:pPr>
        <w:pStyle w:val="Standard"/>
        <w:jc w:val="both"/>
        <w:rPr>
          <w:sz w:val="26"/>
          <w:szCs w:val="26"/>
        </w:rPr>
      </w:pPr>
      <w:r>
        <w:rPr>
          <w:sz w:val="26"/>
          <w:szCs w:val="26"/>
        </w:rPr>
        <w:tab/>
        <w:t>Згідно з Планом та на виконання частини 9 розділу 3 “Дослідження середовища організації та визначення обсягу оцінювання корупційних ризиків” Методології проведено збір та аналіз інформації про середовище облдержадміністрації, на підставі чого здійснено:</w:t>
      </w:r>
    </w:p>
    <w:p w14:paraId="44FA6D6E" w14:textId="77777777" w:rsidR="00B0123E" w:rsidRDefault="00000000">
      <w:pPr>
        <w:pStyle w:val="Standard"/>
        <w:jc w:val="both"/>
        <w:rPr>
          <w:sz w:val="26"/>
          <w:szCs w:val="26"/>
        </w:rPr>
      </w:pPr>
      <w:r>
        <w:rPr>
          <w:sz w:val="26"/>
          <w:szCs w:val="26"/>
        </w:rPr>
        <w:tab/>
        <w:t>- аналіз результатів оцінювання корупційних ризиків за попередній період, заходів впливу на них, оцінки ефективності їх виконання;</w:t>
      </w:r>
    </w:p>
    <w:p w14:paraId="5644FDA2" w14:textId="77777777" w:rsidR="00B0123E" w:rsidRDefault="00000000">
      <w:pPr>
        <w:pStyle w:val="Standard"/>
        <w:jc w:val="both"/>
        <w:rPr>
          <w:sz w:val="26"/>
          <w:szCs w:val="26"/>
        </w:rPr>
      </w:pPr>
      <w:r>
        <w:rPr>
          <w:sz w:val="26"/>
          <w:szCs w:val="26"/>
        </w:rPr>
        <w:tab/>
        <w:t>- аналіз результатів внутрішніх аудитів в структурних підрозділах облдержадміністрації та комунальних підприємствах, установах, організаціях, закладах, що знаходяться в управлінні облдержадміністрації;</w:t>
      </w:r>
    </w:p>
    <w:p w14:paraId="2FC3268A" w14:textId="77777777" w:rsidR="00B0123E" w:rsidRDefault="00000000">
      <w:pPr>
        <w:pStyle w:val="Standard"/>
        <w:jc w:val="both"/>
        <w:rPr>
          <w:sz w:val="26"/>
          <w:szCs w:val="26"/>
        </w:rPr>
      </w:pPr>
      <w:r>
        <w:rPr>
          <w:sz w:val="26"/>
          <w:szCs w:val="26"/>
        </w:rPr>
        <w:tab/>
        <w:t>- аналіз звернень та скарг щодо можливих фактів вчинення корупційних правопорушень та/або правопорушень, пов’язаних з корупцією, працівниками облдержадміністрації;</w:t>
      </w:r>
    </w:p>
    <w:p w14:paraId="6CAA4B2E" w14:textId="77777777" w:rsidR="00B0123E" w:rsidRDefault="00000000">
      <w:pPr>
        <w:pStyle w:val="Standard"/>
        <w:jc w:val="both"/>
        <w:rPr>
          <w:sz w:val="26"/>
          <w:szCs w:val="26"/>
        </w:rPr>
      </w:pPr>
      <w:r>
        <w:rPr>
          <w:sz w:val="26"/>
          <w:szCs w:val="26"/>
        </w:rPr>
        <w:tab/>
        <w:t>- проведено опитування (анкетування) внутрішніх та зовнішніх заінтересованих сторін;</w:t>
      </w:r>
    </w:p>
    <w:p w14:paraId="5C1315C0" w14:textId="77777777" w:rsidR="00B0123E" w:rsidRDefault="00000000">
      <w:pPr>
        <w:pStyle w:val="Standard"/>
        <w:jc w:val="both"/>
        <w:rPr>
          <w:sz w:val="26"/>
          <w:szCs w:val="26"/>
        </w:rPr>
      </w:pPr>
      <w:r>
        <w:rPr>
          <w:sz w:val="26"/>
          <w:szCs w:val="26"/>
        </w:rPr>
        <w:tab/>
        <w:t>- аналіз матеріалів дисциплінарних проваджень та службових розслідувань; рішень судів у справах про притягнення працівників організації до адміністративної, кримінальної відповідальності за вчинення корупційного та пов’язаного з корупцією правопорушень; рішень судів у кримінальних, адміністративних, господарських справах, учасником яких були облдержадміністрація або її працівники;</w:t>
      </w:r>
    </w:p>
    <w:p w14:paraId="63365245" w14:textId="77777777" w:rsidR="00B0123E" w:rsidRDefault="00000000">
      <w:pPr>
        <w:pStyle w:val="Standard"/>
        <w:jc w:val="both"/>
        <w:rPr>
          <w:sz w:val="26"/>
          <w:szCs w:val="26"/>
        </w:rPr>
      </w:pPr>
      <w:r>
        <w:rPr>
          <w:sz w:val="26"/>
          <w:szCs w:val="26"/>
        </w:rPr>
        <w:tab/>
        <w:t>- аналіз відомостей, які містяться у відкритих інформаційних системах, реєстрах і базах даних;</w:t>
      </w:r>
    </w:p>
    <w:p w14:paraId="35FF1402" w14:textId="77777777" w:rsidR="00B0123E" w:rsidRDefault="00000000">
      <w:pPr>
        <w:pStyle w:val="Standard"/>
        <w:jc w:val="both"/>
        <w:rPr>
          <w:sz w:val="26"/>
          <w:szCs w:val="26"/>
        </w:rPr>
      </w:pPr>
      <w:r>
        <w:rPr>
          <w:sz w:val="26"/>
          <w:szCs w:val="26"/>
        </w:rPr>
        <w:tab/>
        <w:t>- аналіз відомостей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працівниками структурних підрозділів облдержадміністрації та комунальних підприємств, установ, організацій та закладів, що знаходяться в управлінні облдержадміністрації.</w:t>
      </w:r>
    </w:p>
    <w:p w14:paraId="15AF5CA2" w14:textId="77777777" w:rsidR="00B0123E" w:rsidRDefault="00000000">
      <w:pPr>
        <w:pStyle w:val="Standard"/>
        <w:jc w:val="both"/>
      </w:pPr>
      <w:r>
        <w:rPr>
          <w:sz w:val="26"/>
          <w:szCs w:val="26"/>
        </w:rPr>
        <w:tab/>
        <w:t>По всіх проведених заходах складено відповідні аналітичні довідки</w:t>
      </w:r>
      <w:r>
        <w:rPr>
          <w:rStyle w:val="ad"/>
          <w:rFonts w:eastAsia="Times New Roman" w:cs="Times New Roman"/>
          <w:color w:val="00000A"/>
          <w:sz w:val="26"/>
          <w:szCs w:val="26"/>
          <w:lang w:eastAsia="en-US"/>
        </w:rPr>
        <w:t>.</w:t>
      </w:r>
    </w:p>
    <w:p w14:paraId="03816668" w14:textId="77777777" w:rsidR="00B0123E" w:rsidRDefault="00000000">
      <w:pPr>
        <w:pStyle w:val="Standard"/>
        <w:jc w:val="both"/>
        <w:rPr>
          <w:sz w:val="26"/>
          <w:szCs w:val="26"/>
        </w:rPr>
      </w:pPr>
      <w:r>
        <w:rPr>
          <w:sz w:val="26"/>
          <w:szCs w:val="26"/>
        </w:rPr>
        <w:tab/>
        <w:t>За результатами проведеної аналітичної роботи робочою групою було визначено 16 потенційно вразливих до корупції функцій та процесів, які реалізуються облдержадміністрацією самостійно або спільно з іншими зовнішніми заінтересованими сторонами.</w:t>
      </w:r>
    </w:p>
    <w:p w14:paraId="16425610" w14:textId="77777777" w:rsidR="00B0123E" w:rsidRDefault="00000000">
      <w:pPr>
        <w:pStyle w:val="Standard"/>
        <w:jc w:val="both"/>
      </w:pPr>
      <w:r>
        <w:rPr>
          <w:sz w:val="26"/>
          <w:szCs w:val="26"/>
        </w:rPr>
        <w:lastRenderedPageBreak/>
        <w:tab/>
      </w:r>
      <w:r>
        <w:rPr>
          <w:rStyle w:val="ad"/>
          <w:rFonts w:eastAsia="Times New Roman" w:cs="Times New Roman"/>
          <w:color w:val="00000A"/>
          <w:sz w:val="26"/>
          <w:szCs w:val="26"/>
          <w:lang w:eastAsia="en-US"/>
        </w:rPr>
        <w:t xml:space="preserve">Про результати цієї діяльності управлінням було підготовлено дві доповідні голові облдержадміністрації, начальнику обласної військової адміністрації від </w:t>
      </w:r>
      <w:r>
        <w:rPr>
          <w:rStyle w:val="ad"/>
          <w:rFonts w:eastAsia="SimSun" w:cs="Arial"/>
          <w:color w:val="00000A"/>
          <w:sz w:val="26"/>
          <w:szCs w:val="26"/>
          <w:lang w:eastAsia="zh-CN" w:bidi="hi-IN"/>
        </w:rPr>
        <w:t>05.09.2023 № 94/0/245-23 “Про результати опитування (анкетування) працівників апарату та структурних підрозділів  облдержадміністрації з метою ідентифікації корупційних ризиків у її діяльності” та від 05.09.2023 № 95/0/245-23 “Про результати опитування (анкетування) працівників апарату та структурних підрозділів облдержадміністрації щодо конфлікту інтересів”.</w:t>
      </w:r>
    </w:p>
    <w:p w14:paraId="09EC52B9" w14:textId="77777777" w:rsidR="00B0123E" w:rsidRDefault="00000000">
      <w:pPr>
        <w:pStyle w:val="Standard"/>
        <w:tabs>
          <w:tab w:val="left" w:pos="709"/>
          <w:tab w:val="left" w:pos="900"/>
          <w:tab w:val="left" w:pos="1200"/>
          <w:tab w:val="left" w:pos="10155"/>
        </w:tabs>
        <w:jc w:val="both"/>
      </w:pPr>
      <w:r>
        <w:rPr>
          <w:rStyle w:val="cef1edeee2edeee9f8f0e8f4f2e0e1e7e0f6e0"/>
          <w:rFonts w:eastAsia="Calibri" w:cs="Times New Roman"/>
          <w:color w:val="00000A"/>
          <w:sz w:val="26"/>
          <w:szCs w:val="26"/>
          <w:lang w:eastAsia="en-US"/>
        </w:rPr>
        <w:tab/>
      </w:r>
      <w:r>
        <w:rPr>
          <w:sz w:val="26"/>
          <w:szCs w:val="26"/>
        </w:rPr>
        <w:t>На офіційному сайті облдержадміністрації постійно ведеться рубрика «Запобігання та виявлення корупції», де висвітлюється інформація, яка стосується діяльності з питань запобігання та виявлення корупції в облдержадміністрації, а саме : про результати проведених цільових заходів антикорупційного спрямування, надається інформація про канали  повідомлення про корупцію, про співпрацю з викривачами, нормативно-правові акти, що стосуються організації роботи із запобігання корупції в облдержадміністрації, висвітлюється робота робочої групи з оцінки корупційних ризиків у діяльності облдержадміністрації та її структурних підрозділів тощо. Також систематично висвітлюється інформація стосовно виконання заходів Антикорупційної програми, моніторингу її виконання.</w:t>
      </w:r>
    </w:p>
    <w:p w14:paraId="4A2E2B71" w14:textId="77777777" w:rsidR="00B0123E" w:rsidRDefault="00000000">
      <w:pPr>
        <w:pStyle w:val="Standard"/>
        <w:tabs>
          <w:tab w:val="left" w:pos="709"/>
          <w:tab w:val="left" w:pos="900"/>
          <w:tab w:val="left" w:pos="1200"/>
          <w:tab w:val="left" w:pos="10155"/>
        </w:tabs>
        <w:jc w:val="both"/>
        <w:rPr>
          <w:sz w:val="26"/>
          <w:szCs w:val="26"/>
        </w:rPr>
      </w:pPr>
      <w:r>
        <w:rPr>
          <w:sz w:val="26"/>
          <w:szCs w:val="26"/>
        </w:rPr>
        <w:tab/>
        <w:t>Управлінням забезпечено доступ громадян до інформації щодо можливостей повідомити про виявлені факти корупційних правопорушень або правопорушень, пов’язаних з корупцією та гарантій захисту викривачів. Здійснено оновлення вказаної інформації. На офіційному сайті облдержадміністрації забезпечено ведення рубрики «Повідом про корупцію».</w:t>
      </w:r>
    </w:p>
    <w:p w14:paraId="68457CA5" w14:textId="77777777" w:rsidR="00B0123E" w:rsidRDefault="00000000">
      <w:pPr>
        <w:pStyle w:val="Standard"/>
        <w:tabs>
          <w:tab w:val="left" w:pos="709"/>
          <w:tab w:val="left" w:pos="900"/>
          <w:tab w:val="left" w:pos="1200"/>
          <w:tab w:val="left" w:pos="10155"/>
        </w:tabs>
        <w:jc w:val="both"/>
      </w:pPr>
      <w:r>
        <w:rPr>
          <w:rStyle w:val="ad"/>
          <w:sz w:val="26"/>
          <w:szCs w:val="26"/>
        </w:rPr>
        <w:tab/>
        <w:t xml:space="preserve">Управлінням систематично надається методична та консультативна допомога </w:t>
      </w:r>
      <w:r>
        <w:rPr>
          <w:rStyle w:val="ad"/>
          <w:bCs/>
          <w:sz w:val="26"/>
          <w:szCs w:val="26"/>
        </w:rPr>
        <w:t xml:space="preserve">працівникам апарату облдержадміністрації та її структурних підрозділів </w:t>
      </w:r>
      <w:r>
        <w:rPr>
          <w:rStyle w:val="ad"/>
          <w:sz w:val="26"/>
          <w:szCs w:val="26"/>
        </w:rPr>
        <w:t>з питань додержання законодавства щодо запобігання і протидії корупції, захисту прав викривачів, ведеться відповідний журнал. З початку року співробітниками управлінням було надано 75 консультацій з питань роз’яснення положень антикорупційного законодавства.</w:t>
      </w:r>
    </w:p>
    <w:p w14:paraId="4CCBA3AD" w14:textId="77777777" w:rsidR="00B0123E" w:rsidRDefault="00000000">
      <w:pPr>
        <w:pStyle w:val="Standard"/>
        <w:tabs>
          <w:tab w:val="left" w:pos="0"/>
          <w:tab w:val="left" w:pos="10155"/>
        </w:tabs>
        <w:jc w:val="both"/>
      </w:pPr>
      <w:r>
        <w:rPr>
          <w:sz w:val="26"/>
          <w:szCs w:val="26"/>
        </w:rPr>
        <w:t xml:space="preserve">     Систематично здійснюються навчальні заходи з питань дотримання вимог антикорупційного  законодавства. Управлінням розроблено та затверджено керівництвом облдержадміністрації </w:t>
      </w:r>
      <w:r>
        <w:rPr>
          <w:rStyle w:val="ad"/>
          <w:rFonts w:eastAsia="Times New Roman" w:cs="Times New Roman"/>
          <w:kern w:val="0"/>
          <w:sz w:val="26"/>
          <w:szCs w:val="26"/>
          <w:lang w:eastAsia="en-US"/>
        </w:rPr>
        <w:t xml:space="preserve">План-графік </w:t>
      </w:r>
      <w:r>
        <w:rPr>
          <w:rFonts w:eastAsia="Times New Roman" w:cs="Times New Roman"/>
          <w:kern w:val="0"/>
          <w:sz w:val="26"/>
          <w:szCs w:val="26"/>
          <w:lang w:eastAsia="en-US"/>
        </w:rPr>
        <w:t xml:space="preserve"> проведення навчальних заходів з питань дотримання вимог антикорупційного </w:t>
      </w:r>
      <w:r>
        <w:rPr>
          <w:rStyle w:val="ad"/>
          <w:rFonts w:eastAsia="Times New Roman" w:cs="Times New Roman"/>
          <w:kern w:val="0"/>
          <w:sz w:val="26"/>
          <w:szCs w:val="26"/>
          <w:lang w:eastAsia="en-US"/>
        </w:rPr>
        <w:t xml:space="preserve">  законодавства в Донецькій обласній державній адміністрації на 2023 рік.</w:t>
      </w:r>
    </w:p>
    <w:p w14:paraId="3B53069B" w14:textId="77777777" w:rsidR="00B0123E" w:rsidRDefault="00000000">
      <w:pPr>
        <w:pStyle w:val="a4"/>
        <w:tabs>
          <w:tab w:val="left" w:pos="0"/>
        </w:tabs>
        <w:jc w:val="both"/>
        <w:rPr>
          <w:rFonts w:hint="eastAsia"/>
        </w:rPr>
      </w:pPr>
      <w:r>
        <w:rPr>
          <w:rStyle w:val="ad"/>
          <w:rFonts w:ascii="Times New Roman" w:hAnsi="Times New Roman" w:cs="Times New Roman"/>
          <w:sz w:val="26"/>
          <w:szCs w:val="26"/>
        </w:rPr>
        <w:tab/>
      </w:r>
      <w:r>
        <w:rPr>
          <w:rStyle w:val="ad"/>
          <w:rFonts w:ascii="Times New Roman" w:hAnsi="Times New Roman" w:cs="Times New Roman"/>
          <w:color w:val="auto"/>
          <w:sz w:val="26"/>
          <w:szCs w:val="26"/>
        </w:rPr>
        <w:t>Згідно Указу Президента від 24  лютого 2022 року № 64/2022 «Про введення воєнного стану в Україні», листа НАЗК від 21 березня 2022 року № 20-13/10165-22 на  період  дії  правового  режиму  воєнного  стану не вбачається можливим виконання управлінням окремих функцій та завдань, зокрема проведення внутрішніх навчань.</w:t>
      </w:r>
    </w:p>
    <w:p w14:paraId="7B312B37" w14:textId="77777777" w:rsidR="00B0123E" w:rsidRDefault="00000000">
      <w:pPr>
        <w:pStyle w:val="a4"/>
        <w:tabs>
          <w:tab w:val="left" w:pos="0"/>
        </w:tabs>
        <w:jc w:val="both"/>
        <w:rPr>
          <w:rFonts w:hint="eastAsia"/>
        </w:rPr>
      </w:pPr>
      <w:r>
        <w:rPr>
          <w:rFonts w:ascii="Times New Roman" w:hAnsi="Times New Roman" w:cs="Times New Roman"/>
          <w:color w:val="auto"/>
          <w:sz w:val="26"/>
          <w:szCs w:val="26"/>
        </w:rPr>
        <w:tab/>
        <w:t>Разом з тим, управлінням ініційовано розроблення методичних рекомендацій за Планом-графіком проведення навчальних заходів. З</w:t>
      </w:r>
      <w:r>
        <w:rPr>
          <w:rStyle w:val="ad"/>
          <w:rFonts w:ascii="Times New Roman" w:eastAsia="Times New Roman" w:hAnsi="Times New Roman" w:cs="Times New Roman"/>
          <w:kern w:val="0"/>
          <w:sz w:val="26"/>
          <w:szCs w:val="26"/>
          <w:lang w:eastAsia="en-US"/>
        </w:rPr>
        <w:t xml:space="preserve"> метою підвищення рівня знань антикорупційного законодавства методичні рекомендації розробляються за встановленою тематикою та потім направляються до структурних підрозділів облдержадміністрації, структурних підрозділів апарату облдержадміністрації для ознайомлення з ними їх працівників.</w:t>
      </w:r>
    </w:p>
    <w:p w14:paraId="2853E50D" w14:textId="77777777" w:rsidR="00B0123E" w:rsidRDefault="00000000">
      <w:pPr>
        <w:pStyle w:val="a4"/>
        <w:tabs>
          <w:tab w:val="left" w:pos="0"/>
        </w:tabs>
        <w:jc w:val="both"/>
        <w:rPr>
          <w:rFonts w:hint="eastAsia"/>
        </w:rPr>
      </w:pPr>
      <w:r>
        <w:rPr>
          <w:rStyle w:val="ad"/>
          <w:rFonts w:ascii="Times New Roman" w:eastAsia="Times New Roman" w:hAnsi="Times New Roman" w:cs="Times New Roman"/>
          <w:kern w:val="0"/>
          <w:sz w:val="26"/>
          <w:szCs w:val="26"/>
          <w:lang w:eastAsia="en-US"/>
        </w:rPr>
        <w:tab/>
        <w:t>З початку року управлінням були розроблені та направлені наступні методичні рекомендації:</w:t>
      </w:r>
    </w:p>
    <w:p w14:paraId="3586F82B" w14:textId="77777777" w:rsidR="00B0123E" w:rsidRDefault="00000000">
      <w:pPr>
        <w:pStyle w:val="Standard"/>
        <w:jc w:val="both"/>
        <w:rPr>
          <w:sz w:val="26"/>
          <w:szCs w:val="26"/>
        </w:rPr>
      </w:pPr>
      <w:r>
        <w:rPr>
          <w:sz w:val="26"/>
          <w:szCs w:val="26"/>
        </w:rPr>
        <w:tab/>
        <w:t>31.01.2023 за № 12/0/245-23 за темою «Фінансовий контроль та особливості декларування в умовах воєнного стану»;</w:t>
      </w:r>
    </w:p>
    <w:p w14:paraId="15EB584C" w14:textId="77777777" w:rsidR="00B0123E" w:rsidRDefault="00000000">
      <w:pPr>
        <w:pStyle w:val="Standard"/>
        <w:tabs>
          <w:tab w:val="left" w:pos="0"/>
        </w:tabs>
        <w:jc w:val="both"/>
      </w:pPr>
      <w:r>
        <w:rPr>
          <w:rStyle w:val="ad"/>
          <w:rFonts w:eastAsia="Times New Roman" w:cs="Times New Roman"/>
          <w:kern w:val="0"/>
          <w:sz w:val="26"/>
          <w:szCs w:val="26"/>
          <w:lang w:eastAsia="en-US"/>
        </w:rPr>
        <w:tab/>
        <w:t>28.02.2023 за № 25/0/245-23 за темою «Деякі особливості декларування в умовах воєнного стану».</w:t>
      </w:r>
    </w:p>
    <w:p w14:paraId="00A72AD0" w14:textId="77777777" w:rsidR="00B0123E" w:rsidRDefault="00000000">
      <w:pPr>
        <w:pStyle w:val="ac"/>
        <w:snapToGrid w:val="0"/>
        <w:jc w:val="both"/>
        <w:rPr>
          <w:sz w:val="26"/>
          <w:szCs w:val="26"/>
        </w:rPr>
      </w:pPr>
      <w:r>
        <w:rPr>
          <w:sz w:val="26"/>
          <w:szCs w:val="26"/>
        </w:rPr>
        <w:lastRenderedPageBreak/>
        <w:tab/>
        <w:t>28.</w:t>
      </w:r>
      <w:r>
        <w:rPr>
          <w:rFonts w:eastAsia="SimSun" w:cs="Arial"/>
          <w:kern w:val="3"/>
          <w:sz w:val="26"/>
          <w:szCs w:val="26"/>
          <w:lang w:eastAsia="zh-CN" w:bidi="hi-IN"/>
        </w:rPr>
        <w:t>04.2023 № 47/0/245-23 за темою «Дотримання законодавства щодо нерозголошення інформації про викривача (дотримання конфіденційності) працівниками, що здійснюють реєстрацію його повідомлення»;</w:t>
      </w:r>
    </w:p>
    <w:p w14:paraId="282220D1" w14:textId="77777777" w:rsidR="00B0123E" w:rsidRDefault="00000000">
      <w:pPr>
        <w:pStyle w:val="ac"/>
        <w:snapToGrid w:val="0"/>
        <w:jc w:val="both"/>
        <w:rPr>
          <w:rFonts w:eastAsia="SimSun" w:cs="Arial"/>
          <w:kern w:val="3"/>
          <w:sz w:val="26"/>
          <w:szCs w:val="26"/>
          <w:lang w:eastAsia="zh-CN" w:bidi="hi-IN"/>
        </w:rPr>
      </w:pPr>
      <w:r>
        <w:rPr>
          <w:rFonts w:eastAsia="SimSun" w:cs="Arial"/>
          <w:kern w:val="3"/>
          <w:sz w:val="26"/>
          <w:szCs w:val="26"/>
          <w:lang w:eastAsia="zh-CN" w:bidi="hi-IN"/>
        </w:rPr>
        <w:tab/>
        <w:t>19.05.2023 № 52/0/245-23 за темою «Корупційні правопорушення та правопорушення, пов’язані з корупцією. Відповідальність за їх вчинення та наслідки для державних службовців»;</w:t>
      </w:r>
    </w:p>
    <w:p w14:paraId="4051AEB2" w14:textId="77777777" w:rsidR="00B0123E" w:rsidRDefault="00000000">
      <w:pPr>
        <w:pStyle w:val="ac"/>
        <w:tabs>
          <w:tab w:val="left" w:pos="0"/>
        </w:tabs>
        <w:snapToGrid w:val="0"/>
        <w:jc w:val="both"/>
      </w:pPr>
      <w:r>
        <w:rPr>
          <w:rStyle w:val="ad"/>
          <w:rFonts w:eastAsia="SimSun" w:cs="Arial"/>
          <w:kern w:val="3"/>
          <w:sz w:val="26"/>
          <w:szCs w:val="26"/>
          <w:lang w:eastAsia="zh-CN" w:bidi="hi-IN"/>
        </w:rPr>
        <w:tab/>
        <w:t>30.06.2023 № 70/0/245-23 за темою «Механізми запобігання корупції (Заборони на одержання пільг, послуг і майна органами державної влади та місцевого самоврядування. Спеціальна перевірка. Єдиний державний реєстр осіб, які вчинили корупційні або пов'язані з корупцією правопорушення)»;</w:t>
      </w:r>
    </w:p>
    <w:p w14:paraId="18A7AD8F" w14:textId="77777777" w:rsidR="00B0123E" w:rsidRDefault="00000000">
      <w:pPr>
        <w:pStyle w:val="ac"/>
        <w:snapToGrid w:val="0"/>
        <w:jc w:val="both"/>
        <w:rPr>
          <w:sz w:val="26"/>
          <w:szCs w:val="26"/>
        </w:rPr>
      </w:pPr>
      <w:r>
        <w:rPr>
          <w:rFonts w:eastAsia="SimSun" w:cs="Arial"/>
          <w:kern w:val="3"/>
          <w:sz w:val="26"/>
          <w:szCs w:val="26"/>
          <w:lang w:eastAsia="zh-CN" w:bidi="hi-IN"/>
        </w:rPr>
        <w:tab/>
        <w:t>25.07.2023 № 76/0/245-23  за темою «Запобігання та врегулювання конфлікту інтересів»;</w:t>
      </w:r>
    </w:p>
    <w:p w14:paraId="73B9FC4C" w14:textId="77777777" w:rsidR="00B0123E" w:rsidRDefault="00000000">
      <w:pPr>
        <w:pStyle w:val="ac"/>
        <w:snapToGrid w:val="0"/>
        <w:jc w:val="both"/>
        <w:rPr>
          <w:sz w:val="26"/>
          <w:szCs w:val="26"/>
        </w:rPr>
      </w:pPr>
      <w:r>
        <w:rPr>
          <w:rFonts w:eastAsia="SimSun" w:cs="Arial"/>
          <w:kern w:val="3"/>
          <w:sz w:val="26"/>
          <w:szCs w:val="26"/>
          <w:lang w:eastAsia="zh-CN" w:bidi="hi-IN"/>
        </w:rPr>
        <w:tab/>
        <w:t>23.08.2023 № 83/0/245-23 за темою «Захист трудових прав викривача. Способи подання повідомлень про корупційні та пов’язані з корупцією правопорушення та порядок їх розгляду»;</w:t>
      </w:r>
    </w:p>
    <w:p w14:paraId="4110D609" w14:textId="77777777" w:rsidR="00B0123E" w:rsidRDefault="00000000">
      <w:pPr>
        <w:pStyle w:val="ac"/>
        <w:tabs>
          <w:tab w:val="left" w:pos="0"/>
        </w:tabs>
        <w:snapToGrid w:val="0"/>
        <w:jc w:val="both"/>
      </w:pPr>
      <w:r>
        <w:rPr>
          <w:rStyle w:val="ad"/>
          <w:rFonts w:eastAsia="SimSun" w:cs="Arial"/>
          <w:kern w:val="3"/>
          <w:sz w:val="26"/>
          <w:szCs w:val="26"/>
          <w:lang w:eastAsia="zh-CN" w:bidi="hi-IN"/>
        </w:rPr>
        <w:tab/>
        <w:t>13.09.2023 №101/0/245-23  за темою «Типове положення про уповноважений підрозділ (уповноважену особу) з питань запобігання та виявлення корупції».</w:t>
      </w:r>
    </w:p>
    <w:p w14:paraId="3DEFFCCC" w14:textId="77777777" w:rsidR="00B0123E" w:rsidRDefault="00000000">
      <w:pPr>
        <w:pStyle w:val="Standard"/>
        <w:tabs>
          <w:tab w:val="left" w:pos="709"/>
          <w:tab w:val="left" w:pos="900"/>
          <w:tab w:val="left" w:pos="1200"/>
          <w:tab w:val="left" w:pos="10155"/>
        </w:tabs>
        <w:jc w:val="both"/>
      </w:pPr>
      <w:r>
        <w:rPr>
          <w:rStyle w:val="ad"/>
          <w:rFonts w:eastAsia="Times New Roman" w:cs="Times New Roman"/>
          <w:color w:val="000000"/>
          <w:kern w:val="0"/>
          <w:sz w:val="26"/>
          <w:szCs w:val="26"/>
          <w:lang w:eastAsia="en-US" w:bidi="hi-IN"/>
        </w:rPr>
        <w:tab/>
        <w:t>Вказані Методичні рекомендації розміщено на сайті облдержадміністрації в розділі “Методичні рекомендації з вивчення тем навчальних заходів в системі самонавчання щодо запобігання корупції”.</w:t>
      </w:r>
    </w:p>
    <w:p w14:paraId="3AC1FCAB" w14:textId="77777777" w:rsidR="00B0123E" w:rsidRDefault="00000000">
      <w:pPr>
        <w:pStyle w:val="a4"/>
        <w:tabs>
          <w:tab w:val="left" w:pos="709"/>
          <w:tab w:val="left" w:pos="900"/>
          <w:tab w:val="left" w:pos="1200"/>
          <w:tab w:val="left" w:pos="10155"/>
        </w:tabs>
        <w:jc w:val="both"/>
        <w:rPr>
          <w:rFonts w:hint="eastAsia"/>
        </w:rPr>
      </w:pPr>
      <w:r>
        <w:rPr>
          <w:rStyle w:val="ad"/>
          <w:rFonts w:ascii="Times New Roman" w:hAnsi="Times New Roman"/>
          <w:color w:val="auto"/>
          <w:sz w:val="26"/>
          <w:szCs w:val="26"/>
        </w:rPr>
        <w:tab/>
        <w:t>Також управлінням розроблялись пам’ятки щодо дотримання вимог антикорупційного законодавства, які було направлено керівникам апарату та структурних підрозділів  облдержадміністрації для ознайомлення з ними їх працівників.</w:t>
      </w:r>
    </w:p>
    <w:p w14:paraId="3F070ECD" w14:textId="77777777" w:rsidR="00B0123E" w:rsidRDefault="00000000">
      <w:pPr>
        <w:pStyle w:val="a4"/>
        <w:tabs>
          <w:tab w:val="left" w:pos="709"/>
          <w:tab w:val="left" w:pos="900"/>
          <w:tab w:val="left" w:pos="1200"/>
          <w:tab w:val="left" w:pos="10155"/>
        </w:tabs>
        <w:jc w:val="both"/>
        <w:rPr>
          <w:rFonts w:hint="eastAsia"/>
        </w:rPr>
      </w:pPr>
      <w:r>
        <w:rPr>
          <w:rStyle w:val="ad"/>
          <w:rFonts w:ascii="Times New Roman" w:hAnsi="Times New Roman"/>
          <w:sz w:val="26"/>
          <w:szCs w:val="26"/>
        </w:rPr>
        <w:tab/>
        <w:t>В поточному році управлінням було розроблено і направлено  такі пам’ятки:</w:t>
      </w:r>
    </w:p>
    <w:p w14:paraId="0CCFB0C8" w14:textId="77777777" w:rsidR="00B0123E" w:rsidRDefault="00000000">
      <w:pPr>
        <w:pStyle w:val="Standard"/>
        <w:jc w:val="both"/>
        <w:rPr>
          <w:sz w:val="26"/>
          <w:szCs w:val="26"/>
        </w:rPr>
      </w:pPr>
      <w:r>
        <w:rPr>
          <w:sz w:val="26"/>
          <w:szCs w:val="26"/>
        </w:rPr>
        <w:tab/>
        <w:t>17.01.2023 за № 2/0/245-23, Пам’ятка «Дані для декларації»;</w:t>
      </w:r>
    </w:p>
    <w:p w14:paraId="16BDA820" w14:textId="77777777" w:rsidR="00B0123E" w:rsidRDefault="00000000">
      <w:pPr>
        <w:pStyle w:val="Standard"/>
        <w:jc w:val="both"/>
        <w:rPr>
          <w:sz w:val="26"/>
          <w:szCs w:val="26"/>
        </w:rPr>
      </w:pPr>
      <w:r>
        <w:rPr>
          <w:sz w:val="26"/>
          <w:szCs w:val="26"/>
        </w:rPr>
        <w:tab/>
        <w:t>23.01.2023 за № 8/0/245-23, Пам’ятка «Здійснення повідомлення викривачів. Гарантії державного захисту ї прав. Види правової допомоги викривачам»;</w:t>
      </w:r>
    </w:p>
    <w:p w14:paraId="04E78156" w14:textId="77777777" w:rsidR="00B0123E" w:rsidRDefault="00000000">
      <w:pPr>
        <w:pStyle w:val="Standard"/>
        <w:jc w:val="both"/>
        <w:rPr>
          <w:sz w:val="26"/>
          <w:szCs w:val="26"/>
        </w:rPr>
      </w:pPr>
      <w:r>
        <w:rPr>
          <w:sz w:val="26"/>
          <w:szCs w:val="26"/>
        </w:rPr>
        <w:tab/>
        <w:t>15.03.2023 за № 29/0/245-23, Пам’ятка «Про порядок отримання з державних реєстрів інформації, необхідної для заповнення декларації особи, уповноваженої на виконання функцій держави або місцевого самоврядування»;</w:t>
      </w:r>
    </w:p>
    <w:p w14:paraId="40596C13" w14:textId="77777777" w:rsidR="00B0123E" w:rsidRDefault="00000000">
      <w:pPr>
        <w:pStyle w:val="Standard"/>
        <w:jc w:val="both"/>
      </w:pPr>
      <w:r>
        <w:rPr>
          <w:rStyle w:val="ad"/>
          <w:rFonts w:cs="Times New Roman"/>
          <w:color w:val="00000A"/>
          <w:sz w:val="26"/>
          <w:szCs w:val="26"/>
        </w:rPr>
        <w:tab/>
        <w:t>28.03.2023 за № 32/0/245-23, Пам’ятка «Щодо особливостей декларування грошової допомоги, отриманої від міжнародних організацій».</w:t>
      </w:r>
    </w:p>
    <w:p w14:paraId="4193F8B5" w14:textId="77777777" w:rsidR="00B0123E" w:rsidRDefault="00000000">
      <w:pPr>
        <w:pStyle w:val="Standard"/>
        <w:jc w:val="both"/>
        <w:rPr>
          <w:sz w:val="26"/>
          <w:szCs w:val="26"/>
        </w:rPr>
      </w:pPr>
      <w:r>
        <w:rPr>
          <w:sz w:val="26"/>
          <w:szCs w:val="26"/>
        </w:rPr>
        <w:tab/>
        <w:t>24.04.2023 № 40/0/245-23 Пам’ятка «Щодо особливостей  декларування грошової допомоги, отриманої держслужбовцями від держави як внутрішньо переміщені особи»;</w:t>
      </w:r>
    </w:p>
    <w:p w14:paraId="64B90F7E" w14:textId="77777777" w:rsidR="00B0123E" w:rsidRDefault="00000000">
      <w:pPr>
        <w:pStyle w:val="Standard"/>
        <w:jc w:val="both"/>
        <w:rPr>
          <w:sz w:val="26"/>
          <w:szCs w:val="26"/>
        </w:rPr>
      </w:pPr>
      <w:r>
        <w:rPr>
          <w:sz w:val="26"/>
          <w:szCs w:val="26"/>
        </w:rPr>
        <w:tab/>
        <w:t>23.05.2023 № 53/0/245-23 Пам’ятка «Щодо особливостей зайняття іншою оплачуваною або підприємницькою діяльністю особами, дію трудового договору яких призупинено»;</w:t>
      </w:r>
    </w:p>
    <w:p w14:paraId="2A944983" w14:textId="77777777" w:rsidR="00B0123E" w:rsidRDefault="00000000">
      <w:pPr>
        <w:pStyle w:val="Standard"/>
        <w:jc w:val="both"/>
      </w:pPr>
      <w:r>
        <w:rPr>
          <w:rStyle w:val="ad"/>
          <w:rFonts w:cs="Times New Roman"/>
          <w:color w:val="00000A"/>
          <w:sz w:val="26"/>
          <w:szCs w:val="26"/>
        </w:rPr>
        <w:tab/>
        <w:t>29.06.2023 № 68/0/245-23 Пам’ятка «Щодо одночасного перебування особи на посаді, яка передбачає виконання функцій держави, та членства в добровольчих формуваннях територіальних громад у період дії воєнного стану».</w:t>
      </w:r>
    </w:p>
    <w:p w14:paraId="15D50048" w14:textId="77777777" w:rsidR="00B0123E" w:rsidRDefault="00000000">
      <w:pPr>
        <w:pStyle w:val="Standard"/>
        <w:jc w:val="both"/>
        <w:rPr>
          <w:sz w:val="26"/>
          <w:szCs w:val="26"/>
        </w:rPr>
      </w:pPr>
      <w:r>
        <w:rPr>
          <w:sz w:val="26"/>
          <w:szCs w:val="26"/>
        </w:rPr>
        <w:tab/>
        <w:t>25.07.2023 № 77/0/245-23 Пам’ятка «Щодо одночасного перебування особи на посаді, яка передбачає виконання функцій держави, та проходження військової служби у складі Сил територіальної оборони Збройних Сил України у період дії воєнного стану»;</w:t>
      </w:r>
    </w:p>
    <w:p w14:paraId="27788DE5" w14:textId="77777777" w:rsidR="00B0123E" w:rsidRDefault="00000000">
      <w:pPr>
        <w:pStyle w:val="Standard"/>
        <w:jc w:val="both"/>
        <w:rPr>
          <w:sz w:val="26"/>
          <w:szCs w:val="26"/>
        </w:rPr>
      </w:pPr>
      <w:r>
        <w:rPr>
          <w:sz w:val="26"/>
          <w:szCs w:val="26"/>
        </w:rPr>
        <w:tab/>
        <w:t>23.08.2023 № 82/0/245-23  Пам’ятка</w:t>
      </w:r>
      <w:bookmarkStart w:id="2" w:name="__DdeLink__1592_1824727380"/>
      <w:r>
        <w:rPr>
          <w:sz w:val="26"/>
          <w:szCs w:val="26"/>
        </w:rPr>
        <w:t xml:space="preserve"> «П</w:t>
      </w:r>
      <w:bookmarkEnd w:id="2"/>
      <w:r>
        <w:rPr>
          <w:sz w:val="26"/>
          <w:szCs w:val="26"/>
        </w:rPr>
        <w:t>ро особливості застосування обмежень щодо сумісництва та суміщення з іншими видами діяльності у період дії воєнного стану»;</w:t>
      </w:r>
    </w:p>
    <w:p w14:paraId="56E84575" w14:textId="77777777" w:rsidR="00B0123E" w:rsidRDefault="00000000">
      <w:pPr>
        <w:pStyle w:val="Standard"/>
        <w:jc w:val="both"/>
        <w:rPr>
          <w:sz w:val="26"/>
          <w:szCs w:val="26"/>
        </w:rPr>
      </w:pPr>
      <w:r>
        <w:rPr>
          <w:sz w:val="26"/>
          <w:szCs w:val="26"/>
        </w:rPr>
        <w:tab/>
        <w:t>27.09.2023 №103/0/245-23 Пам’ятка</w:t>
      </w:r>
      <w:bookmarkStart w:id="3" w:name="__DdeLink__1592_18247273801"/>
      <w:bookmarkStart w:id="4" w:name="__DdeLink__104_2616290608"/>
      <w:r>
        <w:rPr>
          <w:sz w:val="26"/>
          <w:szCs w:val="26"/>
        </w:rPr>
        <w:t xml:space="preserve"> «Щ</w:t>
      </w:r>
      <w:bookmarkEnd w:id="3"/>
      <w:r>
        <w:rPr>
          <w:sz w:val="26"/>
          <w:szCs w:val="26"/>
        </w:rPr>
        <w:t>одо особливостей зміни особистої електронної пошт</w:t>
      </w:r>
      <w:bookmarkEnd w:id="4"/>
      <w:r>
        <w:rPr>
          <w:sz w:val="26"/>
          <w:szCs w:val="26"/>
        </w:rPr>
        <w:t xml:space="preserve">и при подачі декларації особи, уповноваженої на виконання функцій </w:t>
      </w:r>
      <w:r>
        <w:rPr>
          <w:sz w:val="26"/>
          <w:szCs w:val="26"/>
        </w:rPr>
        <w:lastRenderedPageBreak/>
        <w:t>держави або місцевого самоврядування».</w:t>
      </w:r>
    </w:p>
    <w:p w14:paraId="27BD8D58" w14:textId="77777777" w:rsidR="00B0123E" w:rsidRDefault="00000000">
      <w:pPr>
        <w:pStyle w:val="Standard"/>
        <w:tabs>
          <w:tab w:val="left" w:pos="709"/>
          <w:tab w:val="left" w:pos="900"/>
          <w:tab w:val="left" w:pos="1200"/>
          <w:tab w:val="left" w:pos="10155"/>
        </w:tabs>
        <w:jc w:val="both"/>
      </w:pPr>
      <w:r>
        <w:rPr>
          <w:rStyle w:val="ad"/>
          <w:sz w:val="26"/>
          <w:szCs w:val="26"/>
        </w:rPr>
        <w:tab/>
        <w:t>Всі пам’ятки були розміщені на сайті облдержадміністрації в підрозділі</w:t>
      </w:r>
      <w:r>
        <w:rPr>
          <w:rStyle w:val="ad"/>
          <w:b/>
          <w:bCs/>
          <w:sz w:val="26"/>
          <w:szCs w:val="26"/>
        </w:rPr>
        <w:t xml:space="preserve"> “</w:t>
      </w:r>
      <w:r>
        <w:rPr>
          <w:rStyle w:val="ad"/>
          <w:color w:val="000000"/>
          <w:sz w:val="26"/>
          <w:szCs w:val="26"/>
        </w:rPr>
        <w:t>Пам'ятки щодо дотримання антикорупційного законодавства”.</w:t>
      </w:r>
    </w:p>
    <w:p w14:paraId="2DE43BC4" w14:textId="77777777" w:rsidR="00B0123E" w:rsidRDefault="00000000">
      <w:pPr>
        <w:pStyle w:val="Standard"/>
        <w:jc w:val="both"/>
      </w:pPr>
      <w:r>
        <w:rPr>
          <w:rStyle w:val="ad"/>
          <w:rFonts w:eastAsia="Times New Roman" w:cs="Times New Roman"/>
          <w:color w:val="000000"/>
          <w:sz w:val="26"/>
          <w:szCs w:val="26"/>
          <w:lang w:eastAsia="en-US" w:bidi="hi-IN"/>
        </w:rPr>
        <w:tab/>
        <w:t>На виконання листів  НАЗК від 29.04.2022 №33-02/10986 та від 20.05.2022              № 33-02/12333-22  щодо виявлення та надання до  НАЗК інформації про факти колабораційної діяльності осіб, уповноважених на виконання функцій держави та місцевого самоврядування, управлінням було вжито певні заходи щодо налагодження цієї роботи в області. Структурним підрозділам облдержадміністрації та місцевим органам влади за підписом п</w:t>
      </w:r>
      <w:r>
        <w:rPr>
          <w:rStyle w:val="ad"/>
          <w:rFonts w:eastAsia="Times New Roman" w:cs="Times New Roman"/>
          <w:color w:val="333333"/>
          <w:sz w:val="26"/>
          <w:szCs w:val="26"/>
          <w:lang w:eastAsia="en-US" w:bidi="hi-IN"/>
        </w:rPr>
        <w:t xml:space="preserve">ершого заступника голови облдержадміністрації                  Ігора МОРОЗА </w:t>
      </w:r>
      <w:r>
        <w:rPr>
          <w:rStyle w:val="ad"/>
          <w:rFonts w:eastAsia="Times New Roman" w:cs="Times New Roman"/>
          <w:color w:val="000000"/>
          <w:sz w:val="26"/>
          <w:szCs w:val="26"/>
          <w:lang w:eastAsia="en-US" w:bidi="hi-IN"/>
        </w:rPr>
        <w:t xml:space="preserve">було направлено відповідний лист від 04.05.2022 №0.2/16-1225/4-22. </w:t>
      </w:r>
      <w:r>
        <w:rPr>
          <w:rStyle w:val="ad"/>
          <w:rFonts w:eastAsia="Times New Roman" w:cs="Times New Roman"/>
          <w:color w:val="000000"/>
          <w:sz w:val="26"/>
          <w:szCs w:val="26"/>
          <w:lang w:eastAsia="en-US" w:bidi="hi-IN"/>
        </w:rPr>
        <w:tab/>
        <w:t>Вказана інформація постійно отримується і обробляється управлінням, потім за встановленою формою оперативно направляється до НАЗК для занесення до відповідного реєстру.</w:t>
      </w:r>
    </w:p>
    <w:p w14:paraId="27D59D08" w14:textId="77777777" w:rsidR="00B0123E" w:rsidRDefault="00000000">
      <w:pPr>
        <w:pStyle w:val="Standard"/>
        <w:jc w:val="both"/>
        <w:rPr>
          <w:sz w:val="26"/>
          <w:szCs w:val="26"/>
        </w:rPr>
      </w:pPr>
      <w:r>
        <w:rPr>
          <w:sz w:val="26"/>
          <w:szCs w:val="26"/>
        </w:rPr>
        <w:tab/>
        <w:t>На виконання доручення голови облдержадміністрації, начальника обласної військової адміністрації в резолюції до службової записки в.о. керівника апарату облдержадміністрації від 26.05.2022 № 15/3102/2/1-22/0.1 управління щомісячно збирає та обробляє інформацію щодо працівників апарату та структурних підрозділів облдержадміністрації, які перебувають за межами України та на тимчасово окупованій території. Узагальнена інформація до 30-го числа кожного місяця письмово доповідається  голові облдержадміністрації, начальнику обласної військової адміністрації.</w:t>
      </w:r>
    </w:p>
    <w:p w14:paraId="48F5F2AE" w14:textId="77777777" w:rsidR="00B0123E" w:rsidRDefault="00000000">
      <w:pPr>
        <w:pStyle w:val="Standard"/>
        <w:jc w:val="both"/>
      </w:pPr>
      <w:r>
        <w:rPr>
          <w:rStyle w:val="ad"/>
          <w:sz w:val="28"/>
          <w:szCs w:val="28"/>
        </w:rPr>
        <w:t xml:space="preserve">      </w:t>
      </w:r>
      <w:r>
        <w:rPr>
          <w:rStyle w:val="ad"/>
          <w:sz w:val="26"/>
          <w:szCs w:val="26"/>
        </w:rPr>
        <w:t xml:space="preserve"> Управлінням проводяться інструктажі щодо дотримання вимог Закону України “Про запобігання корупції” з працівниками, які призначаються на посади (проінструктовано 31 особу) або звільняються  з посад держслужбовців (проінструктовано 61 особу). Після початку збройної агресії росії ця робота проводиться в телефонному режимі, ведуться відповідні журнали.</w:t>
      </w:r>
    </w:p>
    <w:p w14:paraId="1E6BCE96" w14:textId="77777777" w:rsidR="00B0123E" w:rsidRDefault="00000000">
      <w:pPr>
        <w:pStyle w:val="Standard"/>
        <w:tabs>
          <w:tab w:val="left" w:pos="709"/>
          <w:tab w:val="left" w:pos="900"/>
          <w:tab w:val="left" w:pos="1200"/>
          <w:tab w:val="left" w:pos="10155"/>
        </w:tabs>
        <w:jc w:val="both"/>
      </w:pPr>
      <w:r>
        <w:rPr>
          <w:rStyle w:val="ad"/>
          <w:sz w:val="26"/>
          <w:szCs w:val="26"/>
        </w:rPr>
        <w:tab/>
        <w:t>З метою встановлення фактичної картини, що стосується діяльності в умовах воєнного стану комунальних підприємств, установ, закладів, управлінням 24.01.2023 за № 9/0/245-23 структурним підрозділам облдержадміністрації було направлено листа “Про надання інформації щодо місцезнаходження (фактичної адреси) підприємств, установ, закладів та організацій, що належать до сфери управління облдержадміністрації, та продовжують здійснювати діяльність”. Отримана інформація  узагальнена та використовується управлінням в цілях проведення контролю за виконанням їх посадовими особами вимог антикорупційного законодавства.</w:t>
      </w:r>
    </w:p>
    <w:p w14:paraId="28E10E03" w14:textId="77777777" w:rsidR="00B0123E" w:rsidRDefault="00000000">
      <w:pPr>
        <w:pStyle w:val="Standard"/>
        <w:tabs>
          <w:tab w:val="left" w:pos="0"/>
          <w:tab w:val="left" w:pos="10155"/>
        </w:tabs>
        <w:jc w:val="both"/>
      </w:pPr>
      <w:r>
        <w:rPr>
          <w:sz w:val="26"/>
          <w:szCs w:val="26"/>
        </w:rPr>
        <w:t xml:space="preserve">         Розроблено та затверджено керівництвом облдержадміністрації </w:t>
      </w:r>
      <w:r>
        <w:rPr>
          <w:rStyle w:val="ad"/>
          <w:rFonts w:eastAsia="Times New Roman" w:cs="Times New Roman"/>
          <w:kern w:val="0"/>
          <w:sz w:val="26"/>
          <w:szCs w:val="26"/>
          <w:lang w:eastAsia="en-US"/>
        </w:rPr>
        <w:t>План перевірок на 2023 рік підприємств, установ, закладів та організацій, управління якими здійснює облдержадміністрація, та закладів фахової вищої освіти області щодо дотримання вимог антикорупційного законодавства.</w:t>
      </w:r>
    </w:p>
    <w:p w14:paraId="5CE3416F" w14:textId="77777777" w:rsidR="00B0123E" w:rsidRDefault="00000000">
      <w:pPr>
        <w:pStyle w:val="a4"/>
        <w:jc w:val="both"/>
        <w:rPr>
          <w:rFonts w:hint="eastAsia"/>
        </w:rPr>
      </w:pPr>
      <w:r>
        <w:rPr>
          <w:rFonts w:ascii="Times New Roman" w:hAnsi="Times New Roman"/>
          <w:sz w:val="26"/>
          <w:szCs w:val="26"/>
        </w:rPr>
        <w:tab/>
        <w:t>Забезпечено контроль за виконанням вимог нормативно-правових документів в      частині утворення та діяльності уповноважених підрозділів (уповноважених осіб) з     питань запобігання та виявлення корупції на підприємствах, установах, закладах та організаціях, управління якими здійснює облдержадміністрація, шляхом проведення перевірок роботи уповноважених,  з наданням їм відповідних рекомендацій, методичної та консультативної  допомоги.</w:t>
      </w:r>
    </w:p>
    <w:p w14:paraId="15522FF2" w14:textId="77777777" w:rsidR="00B0123E" w:rsidRDefault="00000000">
      <w:pPr>
        <w:pStyle w:val="a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З початку поточного року працівниками управління проведено такі перевірки організації роботи  із запобігання і виявлення корупції, складено відповідні довідки з рекомендаціями по усуненню виявлених недоліків:</w:t>
      </w:r>
    </w:p>
    <w:p w14:paraId="0D060A9E" w14:textId="77777777" w:rsidR="00B0123E" w:rsidRDefault="00000000">
      <w:pPr>
        <w:pStyle w:val="a4"/>
        <w:jc w:val="both"/>
        <w:rPr>
          <w:rFonts w:ascii="Times New Roman" w:hAnsi="Times New Roman"/>
          <w:sz w:val="26"/>
          <w:szCs w:val="26"/>
        </w:rPr>
      </w:pPr>
      <w:r>
        <w:rPr>
          <w:rFonts w:ascii="Times New Roman" w:hAnsi="Times New Roman"/>
          <w:sz w:val="26"/>
          <w:szCs w:val="26"/>
        </w:rPr>
        <w:t xml:space="preserve">       - лютий - Комунальна некомерційна установа «Онкологічний диспансер               м. Маріуполь»;</w:t>
      </w:r>
    </w:p>
    <w:p w14:paraId="3BD20F9D" w14:textId="77777777" w:rsidR="00B0123E" w:rsidRDefault="00000000">
      <w:pPr>
        <w:pStyle w:val="a4"/>
        <w:jc w:val="both"/>
        <w:rPr>
          <w:rFonts w:ascii="Times New Roman" w:hAnsi="Times New Roman"/>
          <w:sz w:val="26"/>
          <w:szCs w:val="26"/>
        </w:rPr>
      </w:pPr>
      <w:r>
        <w:rPr>
          <w:rFonts w:ascii="Times New Roman" w:hAnsi="Times New Roman"/>
          <w:sz w:val="26"/>
          <w:szCs w:val="26"/>
        </w:rPr>
        <w:lastRenderedPageBreak/>
        <w:t xml:space="preserve">     - лютий - Комунальне некомерційне підприємство «Психіатрична лікарня                             м. Краматорськ»;</w:t>
      </w:r>
    </w:p>
    <w:p w14:paraId="04ADC711" w14:textId="77777777" w:rsidR="00B0123E" w:rsidRDefault="00000000">
      <w:pPr>
        <w:pStyle w:val="a4"/>
        <w:jc w:val="both"/>
        <w:rPr>
          <w:rFonts w:ascii="Times New Roman" w:hAnsi="Times New Roman"/>
          <w:sz w:val="26"/>
          <w:szCs w:val="26"/>
        </w:rPr>
      </w:pPr>
      <w:r>
        <w:rPr>
          <w:rFonts w:ascii="Times New Roman" w:hAnsi="Times New Roman"/>
          <w:sz w:val="26"/>
          <w:szCs w:val="26"/>
        </w:rPr>
        <w:t xml:space="preserve">        - березень - </w:t>
      </w:r>
      <w:r>
        <w:rPr>
          <w:rFonts w:ascii="Times New Roman" w:hAnsi="Times New Roman"/>
          <w:spacing w:val="1"/>
          <w:sz w:val="26"/>
          <w:szCs w:val="26"/>
        </w:rPr>
        <w:t>К</w:t>
      </w:r>
      <w:r>
        <w:rPr>
          <w:rFonts w:ascii="Times New Roman" w:hAnsi="Times New Roman"/>
          <w:sz w:val="26"/>
          <w:szCs w:val="26"/>
        </w:rPr>
        <w:t>омунальне</w:t>
      </w:r>
      <w:r>
        <w:rPr>
          <w:rFonts w:ascii="Times New Roman" w:hAnsi="Times New Roman"/>
          <w:spacing w:val="1"/>
          <w:sz w:val="26"/>
          <w:szCs w:val="26"/>
        </w:rPr>
        <w:t xml:space="preserve"> </w:t>
      </w:r>
      <w:r>
        <w:rPr>
          <w:rFonts w:ascii="Times New Roman" w:hAnsi="Times New Roman"/>
          <w:sz w:val="26"/>
          <w:szCs w:val="26"/>
        </w:rPr>
        <w:t>некомерційне</w:t>
      </w:r>
      <w:r>
        <w:rPr>
          <w:rFonts w:ascii="Times New Roman" w:hAnsi="Times New Roman"/>
          <w:spacing w:val="1"/>
          <w:sz w:val="26"/>
          <w:szCs w:val="26"/>
        </w:rPr>
        <w:t xml:space="preserve"> підприємство</w:t>
      </w:r>
      <w:r>
        <w:rPr>
          <w:rFonts w:ascii="Times New Roman" w:hAnsi="Times New Roman"/>
          <w:sz w:val="26"/>
          <w:szCs w:val="26"/>
        </w:rPr>
        <w:t xml:space="preserve"> “Дерматовенерологічний диспансер м. Маріуполь”;</w:t>
      </w:r>
    </w:p>
    <w:p w14:paraId="19BA802A" w14:textId="77777777" w:rsidR="00B0123E" w:rsidRDefault="00000000">
      <w:pPr>
        <w:pStyle w:val="a4"/>
        <w:jc w:val="both"/>
        <w:rPr>
          <w:rFonts w:ascii="Times New Roman" w:hAnsi="Times New Roman"/>
          <w:sz w:val="26"/>
          <w:szCs w:val="26"/>
        </w:rPr>
      </w:pPr>
      <w:r>
        <w:rPr>
          <w:rFonts w:ascii="Times New Roman" w:hAnsi="Times New Roman"/>
          <w:color w:val="000000"/>
          <w:spacing w:val="1"/>
          <w:sz w:val="26"/>
          <w:szCs w:val="26"/>
        </w:rPr>
        <w:t xml:space="preserve">  </w:t>
      </w:r>
      <w:r>
        <w:rPr>
          <w:rFonts w:ascii="Times New Roman" w:hAnsi="Times New Roman"/>
          <w:color w:val="000000"/>
          <w:spacing w:val="1"/>
          <w:sz w:val="26"/>
          <w:szCs w:val="26"/>
        </w:rPr>
        <w:tab/>
        <w:t xml:space="preserve"> - квітень </w:t>
      </w:r>
      <w:r>
        <w:rPr>
          <w:rFonts w:ascii="Times New Roman" w:hAnsi="Times New Roman"/>
          <w:color w:val="000000"/>
          <w:sz w:val="26"/>
          <w:szCs w:val="26"/>
        </w:rPr>
        <w:t>- Комунальне некомерційне підприємство “Обласний клінічний протитуберкульозний диспансер”;</w:t>
      </w:r>
    </w:p>
    <w:p w14:paraId="22D38C73" w14:textId="77777777" w:rsidR="00B0123E" w:rsidRDefault="00000000">
      <w:pPr>
        <w:pStyle w:val="a4"/>
        <w:jc w:val="both"/>
        <w:rPr>
          <w:rFonts w:ascii="Times New Roman" w:hAnsi="Times New Roman"/>
          <w:sz w:val="26"/>
          <w:szCs w:val="26"/>
        </w:rPr>
      </w:pPr>
      <w:r>
        <w:rPr>
          <w:rFonts w:ascii="Times New Roman" w:hAnsi="Times New Roman"/>
          <w:color w:val="000000"/>
          <w:sz w:val="26"/>
          <w:szCs w:val="26"/>
        </w:rPr>
        <w:tab/>
        <w:t xml:space="preserve"> - травень - Комунальне некомерційне підприємство “Перинатальний центр              м. Маріуполь”;</w:t>
      </w:r>
    </w:p>
    <w:p w14:paraId="28BFCC4E" w14:textId="77777777" w:rsidR="00B0123E" w:rsidRDefault="00000000">
      <w:pPr>
        <w:pStyle w:val="a4"/>
        <w:jc w:val="both"/>
        <w:rPr>
          <w:rFonts w:hint="eastAsia"/>
        </w:rPr>
      </w:pPr>
      <w:r>
        <w:rPr>
          <w:rFonts w:ascii="Times New Roman" w:hAnsi="Times New Roman"/>
          <w:color w:val="000000"/>
          <w:sz w:val="26"/>
          <w:szCs w:val="26"/>
        </w:rPr>
        <w:t xml:space="preserve">        - червень - Комунальна установа “Обласний центр з матеріально-технічного забезпечення закладів охорони здоров'я”;</w:t>
      </w:r>
    </w:p>
    <w:p w14:paraId="610D8C79" w14:textId="77777777" w:rsidR="00B0123E" w:rsidRDefault="00000000">
      <w:pPr>
        <w:pStyle w:val="a4"/>
        <w:jc w:val="both"/>
        <w:rPr>
          <w:rFonts w:hint="eastAsia"/>
        </w:rPr>
      </w:pPr>
      <w:r>
        <w:rPr>
          <w:rFonts w:ascii="Times New Roman" w:hAnsi="Times New Roman"/>
          <w:color w:val="000000"/>
          <w:sz w:val="26"/>
          <w:szCs w:val="26"/>
        </w:rPr>
        <w:tab/>
        <w:t xml:space="preserve"> - липень - К</w:t>
      </w:r>
      <w:r>
        <w:rPr>
          <w:sz w:val="26"/>
          <w:szCs w:val="26"/>
        </w:rPr>
        <w:t>омунальне некомерційне підприємство “Психіатрична лікарня                 м. Маріуполь”;</w:t>
      </w:r>
    </w:p>
    <w:p w14:paraId="5FD2EA60" w14:textId="77777777" w:rsidR="00B0123E" w:rsidRDefault="00000000">
      <w:pPr>
        <w:pStyle w:val="a4"/>
        <w:jc w:val="both"/>
        <w:rPr>
          <w:rFonts w:hint="eastAsia"/>
        </w:rPr>
      </w:pPr>
      <w:r>
        <w:rPr>
          <w:rFonts w:ascii="Times New Roman" w:hAnsi="Times New Roman"/>
          <w:spacing w:val="1"/>
          <w:sz w:val="26"/>
          <w:szCs w:val="26"/>
        </w:rPr>
        <w:t xml:space="preserve">          - серпень - К</w:t>
      </w:r>
      <w:r>
        <w:rPr>
          <w:spacing w:val="1"/>
          <w:sz w:val="26"/>
          <w:szCs w:val="26"/>
        </w:rPr>
        <w:t>омунальний заклад охорони здоров'я “Інформаційно-аналітичний центр медичної статистики”;</w:t>
      </w:r>
    </w:p>
    <w:p w14:paraId="39765EB6" w14:textId="77777777" w:rsidR="00B0123E" w:rsidRDefault="00000000">
      <w:pPr>
        <w:pStyle w:val="a4"/>
        <w:jc w:val="both"/>
        <w:rPr>
          <w:rFonts w:hint="eastAsia"/>
        </w:rPr>
      </w:pPr>
      <w:r>
        <w:rPr>
          <w:rFonts w:ascii="Times New Roman" w:hAnsi="Times New Roman"/>
          <w:spacing w:val="1"/>
          <w:sz w:val="26"/>
          <w:szCs w:val="26"/>
        </w:rPr>
        <w:t xml:space="preserve">    - вересень - </w:t>
      </w:r>
      <w:r>
        <w:rPr>
          <w:spacing w:val="1"/>
          <w:sz w:val="26"/>
          <w:szCs w:val="26"/>
        </w:rPr>
        <w:t>Комунальне некомерційне підприємство “Обласна лікарня                 інтенсивного лікування м. Маріуполь”.</w:t>
      </w:r>
      <w:r>
        <w:rPr>
          <w:rFonts w:ascii="Times New Roman" w:hAnsi="Times New Roman"/>
          <w:spacing w:val="1"/>
          <w:sz w:val="26"/>
          <w:szCs w:val="26"/>
        </w:rPr>
        <w:t xml:space="preserve">      </w:t>
      </w:r>
    </w:p>
    <w:p w14:paraId="0D1C2CEF" w14:textId="77777777" w:rsidR="00B0123E" w:rsidRDefault="00000000">
      <w:pPr>
        <w:pStyle w:val="a4"/>
        <w:jc w:val="both"/>
        <w:rPr>
          <w:rFonts w:hint="eastAsia"/>
        </w:rPr>
      </w:pPr>
      <w:r>
        <w:rPr>
          <w:rStyle w:val="ad"/>
          <w:rFonts w:ascii="Times New Roman" w:hAnsi="Times New Roman"/>
          <w:color w:val="FF0000"/>
          <w:sz w:val="26"/>
          <w:szCs w:val="26"/>
        </w:rPr>
        <w:tab/>
      </w:r>
      <w:r>
        <w:rPr>
          <w:rStyle w:val="ad"/>
          <w:rFonts w:ascii="Times New Roman" w:hAnsi="Times New Roman"/>
          <w:sz w:val="26"/>
          <w:szCs w:val="26"/>
        </w:rPr>
        <w:t>Управлінням забезпечено здійснення контролю за направленням управлінням кадрового забезпечення та з питань нагород облдержадміністрації та кадровими службами структурних підрозділів облдержадміністрації завіреної паперової копії наказу про накладення дисциплінарного стягнення та інформаційної картки до наказу до                   НАЗК стосовно працівників за вчинення корупційного або пов'язаного з корупцією правопорушення.</w:t>
      </w:r>
    </w:p>
    <w:p w14:paraId="0CF484E0" w14:textId="77777777" w:rsidR="00B0123E" w:rsidRDefault="00000000">
      <w:pPr>
        <w:pStyle w:val="a4"/>
        <w:jc w:val="both"/>
        <w:rPr>
          <w:rFonts w:hint="eastAsia"/>
        </w:rPr>
      </w:pPr>
      <w:r>
        <w:rPr>
          <w:rFonts w:ascii="Times New Roman" w:hAnsi="Times New Roman"/>
          <w:sz w:val="26"/>
          <w:szCs w:val="26"/>
        </w:rPr>
        <w:tab/>
        <w:t xml:space="preserve">Забезпечено ведення обліку працівників облдержадміністрації, притягнутих до відповідальності за вчинення корупційних правопорушень або правопорушень,          пов'язаних з корупцією. </w:t>
      </w:r>
      <w:r>
        <w:rPr>
          <w:rStyle w:val="ad"/>
          <w:rFonts w:ascii="Times New Roman" w:hAnsi="Times New Roman"/>
          <w:sz w:val="26"/>
          <w:szCs w:val="26"/>
        </w:rPr>
        <w:t>Забезпечено ведення обліку повідомлень про корупцію, внесеними викривачами.</w:t>
      </w:r>
    </w:p>
    <w:p w14:paraId="1B9A33C2" w14:textId="77777777" w:rsidR="00B0123E" w:rsidRDefault="00000000">
      <w:pPr>
        <w:pStyle w:val="a0"/>
        <w:widowControl/>
        <w:tabs>
          <w:tab w:val="left" w:pos="9639"/>
        </w:tabs>
        <w:jc w:val="both"/>
      </w:pPr>
      <w:r>
        <w:rPr>
          <w:rStyle w:val="ad"/>
          <w:rFonts w:eastAsia="Times New Roman" w:cs="Times New Roman"/>
          <w:sz w:val="26"/>
          <w:szCs w:val="26"/>
        </w:rPr>
        <w:t xml:space="preserve">        </w:t>
      </w:r>
      <w:r>
        <w:rPr>
          <w:rStyle w:val="ad"/>
          <w:rFonts w:cs="Times New Roman"/>
          <w:sz w:val="26"/>
          <w:szCs w:val="26"/>
        </w:rPr>
        <w:t>За 9 місяців 2023 року співробітниками управління опрацьовано 539 одиниць вхідної кореспонденції, в тому числі - 32 доручення центральних органів виконавчої влади, 21 лист юридичних осіб та громадських організацій з резолюціями керівництва облдержадміністрації. Розглянуто 80 звернень громадян та один запит на отримання публічної інформації з питань, що стосуються компетенції управління.</w:t>
      </w:r>
    </w:p>
    <w:p w14:paraId="05C05DAA" w14:textId="77777777" w:rsidR="00B0123E" w:rsidRDefault="00000000">
      <w:pPr>
        <w:pStyle w:val="a0"/>
        <w:widowControl/>
        <w:tabs>
          <w:tab w:val="left" w:pos="9639"/>
        </w:tabs>
        <w:jc w:val="both"/>
      </w:pPr>
      <w:r>
        <w:rPr>
          <w:rStyle w:val="ad"/>
          <w:rFonts w:cs="Times New Roman"/>
          <w:sz w:val="26"/>
          <w:szCs w:val="26"/>
        </w:rPr>
        <w:t xml:space="preserve">         Забезпечено участь працівників управління у роботі  комісії з питань нагород при  облдержадміністрації,  комісії по списанню матеріальних цінностей, робочій групі</w:t>
      </w:r>
      <w:r>
        <w:rPr>
          <w:rStyle w:val="ad"/>
          <w:rFonts w:cs="Times New Roman"/>
          <w:bCs/>
          <w:sz w:val="26"/>
          <w:szCs w:val="26"/>
        </w:rPr>
        <w:t xml:space="preserve"> з оцінки корупційних ризиків</w:t>
      </w:r>
      <w:r>
        <w:rPr>
          <w:rStyle w:val="ad"/>
          <w:rFonts w:cs="Times New Roman"/>
          <w:sz w:val="26"/>
          <w:szCs w:val="26"/>
        </w:rPr>
        <w:t xml:space="preserve"> у діяльності облдержадміністрації та її структурних підрозділів, </w:t>
      </w:r>
      <w:r>
        <w:rPr>
          <w:rStyle w:val="ad"/>
          <w:rFonts w:cs="Times New Roman"/>
          <w:bCs/>
          <w:sz w:val="26"/>
          <w:szCs w:val="26"/>
        </w:rPr>
        <w:t>комісії з інвентаризації майна в апараті облдержадміністрації.</w:t>
      </w:r>
    </w:p>
    <w:p w14:paraId="3FD60179" w14:textId="77777777" w:rsidR="00B0123E" w:rsidRDefault="00B0123E">
      <w:pPr>
        <w:pStyle w:val="a0"/>
        <w:widowControl/>
        <w:tabs>
          <w:tab w:val="left" w:pos="9639"/>
        </w:tabs>
        <w:jc w:val="both"/>
        <w:rPr>
          <w:sz w:val="26"/>
          <w:szCs w:val="26"/>
        </w:rPr>
      </w:pPr>
    </w:p>
    <w:p w14:paraId="10035A13" w14:textId="77777777" w:rsidR="00B0123E" w:rsidRDefault="00B0123E">
      <w:pPr>
        <w:pStyle w:val="a0"/>
        <w:widowControl/>
        <w:tabs>
          <w:tab w:val="left" w:pos="9639"/>
        </w:tabs>
        <w:jc w:val="both"/>
        <w:rPr>
          <w:sz w:val="26"/>
          <w:szCs w:val="26"/>
        </w:rPr>
      </w:pPr>
    </w:p>
    <w:p w14:paraId="6BA33995" w14:textId="77777777" w:rsidR="00B0123E" w:rsidRDefault="00000000">
      <w:pPr>
        <w:pStyle w:val="a0"/>
        <w:widowControl/>
        <w:tabs>
          <w:tab w:val="left" w:pos="9639"/>
        </w:tabs>
        <w:jc w:val="both"/>
      </w:pPr>
      <w:r>
        <w:rPr>
          <w:rStyle w:val="ad"/>
          <w:rFonts w:cs="Times New Roman"/>
          <w:bCs/>
          <w:sz w:val="26"/>
          <w:szCs w:val="26"/>
        </w:rPr>
        <w:t>Начальник управління запобігання та</w:t>
      </w:r>
    </w:p>
    <w:p w14:paraId="6FE4E92F" w14:textId="77777777" w:rsidR="00B0123E" w:rsidRDefault="00000000">
      <w:pPr>
        <w:pStyle w:val="a0"/>
        <w:widowControl/>
        <w:tabs>
          <w:tab w:val="left" w:pos="9639"/>
        </w:tabs>
        <w:jc w:val="both"/>
      </w:pPr>
      <w:r>
        <w:rPr>
          <w:rStyle w:val="ad"/>
          <w:rFonts w:cs="Times New Roman"/>
          <w:bCs/>
          <w:sz w:val="26"/>
          <w:szCs w:val="26"/>
        </w:rPr>
        <w:t>виявлення корупції облдержадміністрації                                     Олег СТАВИЦЬКИЙ</w:t>
      </w:r>
    </w:p>
    <w:p w14:paraId="3BD2AB2F" w14:textId="77777777" w:rsidR="00B0123E" w:rsidRDefault="00B0123E">
      <w:pPr>
        <w:pStyle w:val="a0"/>
        <w:widowControl/>
        <w:tabs>
          <w:tab w:val="left" w:pos="9639"/>
        </w:tabs>
        <w:jc w:val="both"/>
        <w:rPr>
          <w:sz w:val="26"/>
          <w:szCs w:val="26"/>
        </w:rPr>
      </w:pPr>
    </w:p>
    <w:p w14:paraId="1BFDEE56" w14:textId="77777777" w:rsidR="00B0123E" w:rsidRDefault="00B0123E">
      <w:pPr>
        <w:pStyle w:val="a0"/>
        <w:widowControl/>
        <w:tabs>
          <w:tab w:val="left" w:pos="9639"/>
        </w:tabs>
        <w:jc w:val="both"/>
        <w:rPr>
          <w:sz w:val="26"/>
          <w:szCs w:val="26"/>
        </w:rPr>
      </w:pPr>
    </w:p>
    <w:p w14:paraId="77AD1EEC" w14:textId="77777777" w:rsidR="00B0123E" w:rsidRDefault="00B0123E">
      <w:pPr>
        <w:pStyle w:val="a0"/>
        <w:widowControl/>
        <w:tabs>
          <w:tab w:val="left" w:pos="9639"/>
        </w:tabs>
        <w:jc w:val="both"/>
        <w:rPr>
          <w:sz w:val="26"/>
          <w:szCs w:val="26"/>
        </w:rPr>
      </w:pPr>
    </w:p>
    <w:p w14:paraId="47884117" w14:textId="77777777" w:rsidR="00B0123E" w:rsidRDefault="00B0123E">
      <w:pPr>
        <w:pStyle w:val="a0"/>
        <w:widowControl/>
        <w:tabs>
          <w:tab w:val="left" w:pos="9639"/>
        </w:tabs>
        <w:jc w:val="both"/>
      </w:pPr>
    </w:p>
    <w:p w14:paraId="5135E4D9" w14:textId="77777777" w:rsidR="00B0123E" w:rsidRDefault="00000000">
      <w:pPr>
        <w:pStyle w:val="a0"/>
        <w:widowControl/>
        <w:tabs>
          <w:tab w:val="left" w:pos="9639"/>
        </w:tabs>
        <w:jc w:val="both"/>
      </w:pPr>
      <w:r>
        <w:rPr>
          <w:rStyle w:val="ad"/>
          <w:rFonts w:cs="Times New Roman"/>
          <w:bCs/>
          <w:sz w:val="18"/>
          <w:szCs w:val="18"/>
        </w:rPr>
        <w:t>КОВАЛЬОВ Валерій</w:t>
      </w:r>
    </w:p>
    <w:p w14:paraId="1B993C57" w14:textId="77777777" w:rsidR="00B0123E" w:rsidRDefault="00B0123E">
      <w:pPr>
        <w:pStyle w:val="a0"/>
        <w:widowControl/>
        <w:tabs>
          <w:tab w:val="left" w:pos="9639"/>
        </w:tabs>
        <w:jc w:val="both"/>
        <w:rPr>
          <w:rFonts w:cs="Times New Roman"/>
          <w:sz w:val="16"/>
          <w:szCs w:val="16"/>
        </w:rPr>
      </w:pPr>
    </w:p>
    <w:p w14:paraId="60AC9179" w14:textId="77777777" w:rsidR="00B0123E" w:rsidRDefault="00B0123E">
      <w:pPr>
        <w:pStyle w:val="Standard"/>
        <w:jc w:val="both"/>
        <w:rPr>
          <w:rFonts w:cs="Times New Roman"/>
          <w:sz w:val="16"/>
          <w:szCs w:val="16"/>
        </w:rPr>
      </w:pPr>
    </w:p>
    <w:p w14:paraId="5755ADD1" w14:textId="77777777" w:rsidR="00B0123E" w:rsidRDefault="00B0123E">
      <w:pPr>
        <w:pStyle w:val="Standard"/>
        <w:jc w:val="both"/>
        <w:rPr>
          <w:rFonts w:cs="Times New Roman"/>
          <w:sz w:val="16"/>
          <w:szCs w:val="16"/>
        </w:rPr>
      </w:pPr>
    </w:p>
    <w:p w14:paraId="0CFA031F" w14:textId="77777777" w:rsidR="00B0123E" w:rsidRDefault="00B0123E">
      <w:pPr>
        <w:pStyle w:val="Standard"/>
        <w:jc w:val="both"/>
      </w:pPr>
    </w:p>
    <w:sectPr w:rsidR="00B0123E">
      <w:headerReference w:type="default" r:id="rId7"/>
      <w:pgSz w:w="11906" w:h="16838"/>
      <w:pgMar w:top="708" w:right="566" w:bottom="708"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DFB9" w14:textId="77777777" w:rsidR="00542B69" w:rsidRDefault="00542B69">
      <w:r>
        <w:separator/>
      </w:r>
    </w:p>
  </w:endnote>
  <w:endnote w:type="continuationSeparator" w:id="0">
    <w:p w14:paraId="45D18072" w14:textId="77777777" w:rsidR="00542B69" w:rsidRDefault="0054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308">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42BD5" w14:textId="77777777" w:rsidR="00542B69" w:rsidRDefault="00542B69">
      <w:r>
        <w:rPr>
          <w:color w:val="000000"/>
        </w:rPr>
        <w:separator/>
      </w:r>
    </w:p>
  </w:footnote>
  <w:footnote w:type="continuationSeparator" w:id="0">
    <w:p w14:paraId="7CCAA7F6" w14:textId="77777777" w:rsidR="00542B69" w:rsidRDefault="0054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11C1" w14:textId="77777777" w:rsidR="00000000" w:rsidRDefault="00000000">
    <w:pPr>
      <w:pStyle w:val="a9"/>
      <w:jc w:val="center"/>
    </w:pPr>
    <w:r>
      <w:rPr>
        <w:rStyle w:val="ad"/>
        <w:lang w:val="ru-RU"/>
      </w:rPr>
      <w:fldChar w:fldCharType="begin"/>
    </w:r>
    <w:r>
      <w:rPr>
        <w:rStyle w:val="ad"/>
        <w:lang w:val="ru-RU"/>
      </w:rPr>
      <w:instrText xml:space="preserve"> PAGE </w:instrText>
    </w:r>
    <w:r>
      <w:rPr>
        <w:rStyle w:val="ad"/>
        <w:lang w:val="ru-RU"/>
      </w:rPr>
      <w:fldChar w:fldCharType="separate"/>
    </w:r>
    <w:r>
      <w:rPr>
        <w:rStyle w:val="ad"/>
        <w:lang w:val="ru-RU"/>
      </w:rPr>
      <w:t>6</w:t>
    </w:r>
    <w:r>
      <w:rPr>
        <w:rStyle w:val="ad"/>
        <w:lang w:val="ru-RU"/>
      </w:rPr>
      <w:fldChar w:fldCharType="end"/>
    </w:r>
  </w:p>
  <w:p w14:paraId="2FD30C48"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7DD"/>
    <w:multiLevelType w:val="multilevel"/>
    <w:tmpl w:val="6534E654"/>
    <w:styleLink w:val="WWOutlineListStyle2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71768A"/>
    <w:multiLevelType w:val="multilevel"/>
    <w:tmpl w:val="E02A2656"/>
    <w:styleLink w:val="WWOutlineListStyle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D9E0999"/>
    <w:multiLevelType w:val="multilevel"/>
    <w:tmpl w:val="ABA8E73A"/>
    <w:styleLink w:val="WWOutlineListStyle3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DED7FD6"/>
    <w:multiLevelType w:val="multilevel"/>
    <w:tmpl w:val="258A8DC6"/>
    <w:styleLink w:val="WWOutlineListStyle3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F0A2072"/>
    <w:multiLevelType w:val="multilevel"/>
    <w:tmpl w:val="C046D958"/>
    <w:styleLink w:val="WWOutlineListStyle2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F9C7D93"/>
    <w:multiLevelType w:val="multilevel"/>
    <w:tmpl w:val="87B4849C"/>
    <w:styleLink w:val="WWOutlineListStyle1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5AA3D3F"/>
    <w:multiLevelType w:val="multilevel"/>
    <w:tmpl w:val="A9F83856"/>
    <w:styleLink w:val="WWOutlineListStyle1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8703A29"/>
    <w:multiLevelType w:val="multilevel"/>
    <w:tmpl w:val="D0886F02"/>
    <w:styleLink w:val="WWOutlineListStyle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B5660B2"/>
    <w:multiLevelType w:val="multilevel"/>
    <w:tmpl w:val="C1684180"/>
    <w:styleLink w:val="WWOutlineListStyle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D6861AD"/>
    <w:multiLevelType w:val="multilevel"/>
    <w:tmpl w:val="E73C73F2"/>
    <w:styleLink w:val="WWOutlineListStyle2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E475105"/>
    <w:multiLevelType w:val="multilevel"/>
    <w:tmpl w:val="F656EC3A"/>
    <w:styleLink w:val="Outline"/>
    <w:lvl w:ilvl="0">
      <w:start w:val="1"/>
      <w:numFmt w:val="decimal"/>
      <w:pStyle w:val="1"/>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13B7EC9"/>
    <w:multiLevelType w:val="multilevel"/>
    <w:tmpl w:val="761A4528"/>
    <w:styleLink w:val="WWOutlineListStyle3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1F208E2"/>
    <w:multiLevelType w:val="multilevel"/>
    <w:tmpl w:val="EEBE8FFC"/>
    <w:styleLink w:val="WWOutlineListStyle1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412745F"/>
    <w:multiLevelType w:val="multilevel"/>
    <w:tmpl w:val="7DD82D46"/>
    <w:styleLink w:val="WWOutlineListStyle2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5821DBB"/>
    <w:multiLevelType w:val="multilevel"/>
    <w:tmpl w:val="8C702366"/>
    <w:styleLink w:val="WWOutlineListStyle1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67E696C"/>
    <w:multiLevelType w:val="multilevel"/>
    <w:tmpl w:val="4BF456BE"/>
    <w:styleLink w:val="WWOutlineListStyle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7C60FA2"/>
    <w:multiLevelType w:val="multilevel"/>
    <w:tmpl w:val="E6AA9158"/>
    <w:styleLink w:val="WWOutlineListStyle3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B632429"/>
    <w:multiLevelType w:val="multilevel"/>
    <w:tmpl w:val="BFBE8E46"/>
    <w:styleLink w:val="WWOutlineListStyle1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2744D15"/>
    <w:multiLevelType w:val="multilevel"/>
    <w:tmpl w:val="B922C7A0"/>
    <w:styleLink w:val="WWOutlineListStyle3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465453E"/>
    <w:multiLevelType w:val="multilevel"/>
    <w:tmpl w:val="476A128C"/>
    <w:styleLink w:val="WWOutlineListStyle1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79A4187"/>
    <w:multiLevelType w:val="multilevel"/>
    <w:tmpl w:val="1FFEA956"/>
    <w:styleLink w:val="WWOutlineListStyle2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DDD7E55"/>
    <w:multiLevelType w:val="multilevel"/>
    <w:tmpl w:val="CD3C1714"/>
    <w:styleLink w:val="WWOutlineListStyle2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68B14ED"/>
    <w:multiLevelType w:val="multilevel"/>
    <w:tmpl w:val="1E3ADC72"/>
    <w:styleLink w:val="WWOutlineListStyle3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8C569FD"/>
    <w:multiLevelType w:val="multilevel"/>
    <w:tmpl w:val="CFB63766"/>
    <w:styleLink w:val="WWOutlineListStyle2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ABA127F"/>
    <w:multiLevelType w:val="multilevel"/>
    <w:tmpl w:val="B01472A8"/>
    <w:styleLink w:val="WWOutlineListStyle3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CB46A72"/>
    <w:multiLevelType w:val="multilevel"/>
    <w:tmpl w:val="DDEC3032"/>
    <w:styleLink w:val="WWOutlineListStyle1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F4964A3"/>
    <w:multiLevelType w:val="multilevel"/>
    <w:tmpl w:val="12A8F790"/>
    <w:styleLink w:val="WWOutlineListStyle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0BE404C"/>
    <w:multiLevelType w:val="multilevel"/>
    <w:tmpl w:val="AB880D5C"/>
    <w:styleLink w:val="WWOutlineListStyle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56A15D2"/>
    <w:multiLevelType w:val="multilevel"/>
    <w:tmpl w:val="8CBA499A"/>
    <w:styleLink w:val="WWOutlineListStyle2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1454E32"/>
    <w:multiLevelType w:val="multilevel"/>
    <w:tmpl w:val="1F72B55E"/>
    <w:styleLink w:val="WWOutlineListStyle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2553544"/>
    <w:multiLevelType w:val="multilevel"/>
    <w:tmpl w:val="7C543CEC"/>
    <w:styleLink w:val="WWOutlineListStyle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3602589"/>
    <w:multiLevelType w:val="multilevel"/>
    <w:tmpl w:val="45C0351C"/>
    <w:styleLink w:val="WWOutlineListStyle3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49039F6"/>
    <w:multiLevelType w:val="multilevel"/>
    <w:tmpl w:val="A6BE738C"/>
    <w:styleLink w:val="WWOutlineListStyle1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50E145F"/>
    <w:multiLevelType w:val="multilevel"/>
    <w:tmpl w:val="76566700"/>
    <w:styleLink w:val="WWOutlineListStyle2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82E6D4D"/>
    <w:multiLevelType w:val="multilevel"/>
    <w:tmpl w:val="D9949472"/>
    <w:styleLink w:val="WWOutlineListStyle"/>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A662A11"/>
    <w:multiLevelType w:val="multilevel"/>
    <w:tmpl w:val="1154FFE6"/>
    <w:styleLink w:val="WWOutlineListStyle3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291710E"/>
    <w:multiLevelType w:val="multilevel"/>
    <w:tmpl w:val="FCB65DC6"/>
    <w:styleLink w:val="WWOutlineListStyle2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9730CF2"/>
    <w:multiLevelType w:val="multilevel"/>
    <w:tmpl w:val="7FBCC2D0"/>
    <w:styleLink w:val="WWOutlineListStyle1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D074C89"/>
    <w:multiLevelType w:val="multilevel"/>
    <w:tmpl w:val="EB3AB93A"/>
    <w:styleLink w:val="WWOutlineListStyle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D9517A5"/>
    <w:multiLevelType w:val="multilevel"/>
    <w:tmpl w:val="744C038A"/>
    <w:styleLink w:val="WWOutlineListStyle1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58681029">
    <w:abstractNumId w:val="10"/>
  </w:num>
  <w:num w:numId="2" w16cid:durableId="1634940569">
    <w:abstractNumId w:val="22"/>
  </w:num>
  <w:num w:numId="3" w16cid:durableId="2094351822">
    <w:abstractNumId w:val="24"/>
  </w:num>
  <w:num w:numId="4" w16cid:durableId="952325925">
    <w:abstractNumId w:val="16"/>
  </w:num>
  <w:num w:numId="5" w16cid:durableId="1884125453">
    <w:abstractNumId w:val="31"/>
  </w:num>
  <w:num w:numId="6" w16cid:durableId="1574311800">
    <w:abstractNumId w:val="18"/>
  </w:num>
  <w:num w:numId="7" w16cid:durableId="1063454580">
    <w:abstractNumId w:val="3"/>
  </w:num>
  <w:num w:numId="8" w16cid:durableId="468524039">
    <w:abstractNumId w:val="2"/>
  </w:num>
  <w:num w:numId="9" w16cid:durableId="1343364071">
    <w:abstractNumId w:val="35"/>
  </w:num>
  <w:num w:numId="10" w16cid:durableId="895360056">
    <w:abstractNumId w:val="11"/>
  </w:num>
  <w:num w:numId="11" w16cid:durableId="2069763487">
    <w:abstractNumId w:val="28"/>
  </w:num>
  <w:num w:numId="12" w16cid:durableId="251087270">
    <w:abstractNumId w:val="13"/>
  </w:num>
  <w:num w:numId="13" w16cid:durableId="1298756356">
    <w:abstractNumId w:val="9"/>
  </w:num>
  <w:num w:numId="14" w16cid:durableId="1711954250">
    <w:abstractNumId w:val="21"/>
  </w:num>
  <w:num w:numId="15" w16cid:durableId="1947540414">
    <w:abstractNumId w:val="20"/>
  </w:num>
  <w:num w:numId="16" w16cid:durableId="2007393405">
    <w:abstractNumId w:val="36"/>
  </w:num>
  <w:num w:numId="17" w16cid:durableId="1284459031">
    <w:abstractNumId w:val="23"/>
  </w:num>
  <w:num w:numId="18" w16cid:durableId="1222247924">
    <w:abstractNumId w:val="4"/>
  </w:num>
  <w:num w:numId="19" w16cid:durableId="1964800987">
    <w:abstractNumId w:val="0"/>
  </w:num>
  <w:num w:numId="20" w16cid:durableId="1800565541">
    <w:abstractNumId w:val="33"/>
  </w:num>
  <w:num w:numId="21" w16cid:durableId="1570075210">
    <w:abstractNumId w:val="17"/>
  </w:num>
  <w:num w:numId="22" w16cid:durableId="544370952">
    <w:abstractNumId w:val="25"/>
  </w:num>
  <w:num w:numId="23" w16cid:durableId="720981340">
    <w:abstractNumId w:val="12"/>
  </w:num>
  <w:num w:numId="24" w16cid:durableId="1405834757">
    <w:abstractNumId w:val="6"/>
  </w:num>
  <w:num w:numId="25" w16cid:durableId="1830250943">
    <w:abstractNumId w:val="19"/>
  </w:num>
  <w:num w:numId="26" w16cid:durableId="1984850037">
    <w:abstractNumId w:val="5"/>
  </w:num>
  <w:num w:numId="27" w16cid:durableId="605700559">
    <w:abstractNumId w:val="14"/>
  </w:num>
  <w:num w:numId="28" w16cid:durableId="690911876">
    <w:abstractNumId w:val="32"/>
  </w:num>
  <w:num w:numId="29" w16cid:durableId="574054132">
    <w:abstractNumId w:val="39"/>
  </w:num>
  <w:num w:numId="30" w16cid:durableId="568542868">
    <w:abstractNumId w:val="37"/>
  </w:num>
  <w:num w:numId="31" w16cid:durableId="1080174586">
    <w:abstractNumId w:val="29"/>
  </w:num>
  <w:num w:numId="32" w16cid:durableId="1442069399">
    <w:abstractNumId w:val="30"/>
  </w:num>
  <w:num w:numId="33" w16cid:durableId="1803158060">
    <w:abstractNumId w:val="27"/>
  </w:num>
  <w:num w:numId="34" w16cid:durableId="470631101">
    <w:abstractNumId w:val="1"/>
  </w:num>
  <w:num w:numId="35" w16cid:durableId="221722374">
    <w:abstractNumId w:val="8"/>
  </w:num>
  <w:num w:numId="36" w16cid:durableId="397361030">
    <w:abstractNumId w:val="7"/>
  </w:num>
  <w:num w:numId="37" w16cid:durableId="408188662">
    <w:abstractNumId w:val="15"/>
  </w:num>
  <w:num w:numId="38" w16cid:durableId="711460165">
    <w:abstractNumId w:val="38"/>
  </w:num>
  <w:num w:numId="39" w16cid:durableId="127627524">
    <w:abstractNumId w:val="26"/>
  </w:num>
  <w:num w:numId="40" w16cid:durableId="8138341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0123E"/>
    <w:rsid w:val="00472EF1"/>
    <w:rsid w:val="00542B69"/>
    <w:rsid w:val="005855A5"/>
    <w:rsid w:val="00B012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2EA0"/>
  <w15:docId w15:val="{C15D7DE3-ABA9-46FC-BC80-CDB7CECE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uiPriority w:val="9"/>
    <w:qFormat/>
    <w:pPr>
      <w:keepNext/>
      <w:widowControl/>
      <w:numPr>
        <w:numId w:val="1"/>
      </w:numPr>
      <w:textAlignment w:val="auto"/>
      <w:outlineLvl w:val="0"/>
    </w:pPr>
    <w:rPr>
      <w:rFonts w:eastAsia="Times New Roman" w:cs="Times New Roman"/>
      <w:kern w:val="0"/>
      <w:sz w:val="28"/>
      <w:szCs w:val="20"/>
      <w:lang w:eastAsia="zh-CN"/>
    </w:rPr>
  </w:style>
  <w:style w:type="paragraph" w:styleId="2">
    <w:name w:val="heading 2"/>
    <w:basedOn w:val="Heading"/>
    <w:next w:val="Textbody"/>
    <w:uiPriority w:val="9"/>
    <w:semiHidden/>
    <w:unhideWhenUsed/>
    <w:qFormat/>
    <w:pPr>
      <w:spacing w:before="200"/>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a0"/>
    <w:pPr>
      <w:widowControl/>
      <w:jc w:val="center"/>
      <w:textAlignment w:val="auto"/>
    </w:pPr>
    <w:rPr>
      <w:rFonts w:eastAsia="Times New Roman" w:cs="Times New Roman"/>
      <w:b/>
      <w:kern w:val="0"/>
      <w:sz w:val="28"/>
      <w:szCs w:val="20"/>
      <w:lang w:eastAsia="zh-CN"/>
    </w:rPr>
  </w:style>
  <w:style w:type="paragraph" w:customStyle="1" w:styleId="a0">
    <w:name w:val="Обычный"/>
    <w:pPr>
      <w:suppressAutoHyphens/>
    </w:pPr>
  </w:style>
  <w:style w:type="paragraph" w:customStyle="1" w:styleId="20">
    <w:name w:val="Основной текст (2)"/>
    <w:basedOn w:val="Standard"/>
    <w:pPr>
      <w:spacing w:after="240" w:line="306" w:lineRule="exact"/>
    </w:pPr>
    <w:rPr>
      <w:rFonts w:eastAsia="Times New Roman" w:cs="Times New Roman"/>
      <w:sz w:val="28"/>
      <w:szCs w:val="28"/>
    </w:rPr>
  </w:style>
  <w:style w:type="paragraph" w:customStyle="1" w:styleId="10">
    <w:name w:val="Без интервала1"/>
    <w:pPr>
      <w:widowControl/>
      <w:suppressAutoHyphens/>
      <w:textAlignment w:val="auto"/>
    </w:pPr>
    <w:rPr>
      <w:rFonts w:ascii="Calibri" w:eastAsia="Calibri" w:hAnsi="Calibri" w:cs="font308"/>
      <w:color w:val="00000A"/>
      <w:kern w:val="0"/>
      <w:sz w:val="22"/>
      <w:szCs w:val="22"/>
      <w:lang w:val="ru-RU" w:eastAsia="zh-CN"/>
    </w:rPr>
  </w:style>
  <w:style w:type="paragraph" w:customStyle="1" w:styleId="a4">
    <w:name w:val="Без интервала"/>
    <w:pPr>
      <w:widowControl/>
    </w:pPr>
    <w:rPr>
      <w:rFonts w:ascii="Liberation Serif" w:eastAsia="SimSun" w:hAnsi="Liberation Serif" w:cs="Arial"/>
      <w:color w:val="00000A"/>
      <w:lang w:eastAsia="zh-CN" w:bidi="hi-IN"/>
    </w:rPr>
  </w:style>
  <w:style w:type="paragraph" w:customStyle="1" w:styleId="a5">
    <w:name w:val="Текст выноски"/>
    <w:basedOn w:val="a0"/>
    <w:rPr>
      <w:rFonts w:ascii="Segoe UI" w:eastAsia="Segoe UI" w:hAnsi="Segoe UI" w:cs="Segoe UI"/>
      <w:sz w:val="18"/>
      <w:szCs w:val="18"/>
    </w:rPr>
  </w:style>
  <w:style w:type="paragraph" w:styleId="a6">
    <w:name w:val="List"/>
    <w:basedOn w:val="Textbody"/>
  </w:style>
  <w:style w:type="paragraph" w:customStyle="1" w:styleId="a7">
    <w:name w:val="Название объе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8">
    <w:name w:val="Абзац списка"/>
    <w:basedOn w:val="a0"/>
    <w:pPr>
      <w:ind w:left="720"/>
    </w:pPr>
  </w:style>
  <w:style w:type="paragraph" w:customStyle="1" w:styleId="a9">
    <w:name w:val="Верхний колонтитул"/>
    <w:basedOn w:val="Standard"/>
    <w:pPr>
      <w:suppressLineNumbers/>
      <w:tabs>
        <w:tab w:val="center" w:pos="4819"/>
        <w:tab w:val="right" w:pos="9638"/>
      </w:tabs>
    </w:pPr>
  </w:style>
  <w:style w:type="paragraph" w:customStyle="1" w:styleId="aa">
    <w:name w:val="Нижний колонтитул"/>
    <w:basedOn w:val="a0"/>
    <w:pPr>
      <w:tabs>
        <w:tab w:val="center" w:pos="4819"/>
        <w:tab w:val="right" w:pos="9639"/>
      </w:tabs>
    </w:pPr>
  </w:style>
  <w:style w:type="paragraph" w:styleId="ab">
    <w:name w:val="header"/>
    <w:basedOn w:val="Standard"/>
    <w:pPr>
      <w:suppressLineNumbers/>
      <w:tabs>
        <w:tab w:val="center" w:pos="4819"/>
        <w:tab w:val="right" w:pos="9638"/>
      </w:tabs>
    </w:pPr>
  </w:style>
  <w:style w:type="paragraph" w:customStyle="1" w:styleId="ac">
    <w:name w:val="Содержимое таблицы"/>
    <w:basedOn w:val="Standard"/>
    <w:pPr>
      <w:suppressLineNumbers/>
    </w:pPr>
    <w:rPr>
      <w:rFonts w:eastAsia="Times New Roman" w:cs="Times New Roman"/>
      <w:color w:val="00000A"/>
      <w:kern w:val="0"/>
      <w:lang w:eastAsia="ar-SA"/>
    </w:rPr>
  </w:style>
  <w:style w:type="character" w:customStyle="1" w:styleId="ad">
    <w:name w:val="Основной шрифт абзаца"/>
  </w:style>
  <w:style w:type="character" w:customStyle="1" w:styleId="ListLabel1">
    <w:name w:val="ListLabel 1"/>
    <w:rPr>
      <w:rFonts w:eastAsia="Calibri"/>
    </w:rPr>
  </w:style>
  <w:style w:type="character" w:customStyle="1" w:styleId="BulletSymbols">
    <w:name w:val="Bullet Symbols"/>
    <w:rPr>
      <w:rFonts w:ascii="OpenSymbol" w:eastAsia="OpenSymbol" w:hAnsi="OpenSymbol" w:cs="OpenSymbol"/>
    </w:rPr>
  </w:style>
  <w:style w:type="character" w:customStyle="1" w:styleId="11">
    <w:name w:val="Заголовок 1 Знак"/>
    <w:basedOn w:val="ad"/>
    <w:rPr>
      <w:rFonts w:eastAsia="Times New Roman" w:cs="Times New Roman"/>
      <w:kern w:val="0"/>
      <w:sz w:val="28"/>
      <w:szCs w:val="20"/>
      <w:lang w:eastAsia="zh-CN"/>
    </w:rPr>
  </w:style>
  <w:style w:type="character" w:customStyle="1" w:styleId="ae">
    <w:name w:val="Основной текст Знак"/>
    <w:basedOn w:val="ad"/>
    <w:rPr>
      <w:rFonts w:eastAsia="Times New Roman" w:cs="Times New Roman"/>
      <w:b/>
      <w:kern w:val="0"/>
      <w:sz w:val="28"/>
      <w:szCs w:val="20"/>
      <w:lang w:eastAsia="zh-CN"/>
    </w:rPr>
  </w:style>
  <w:style w:type="character" w:customStyle="1" w:styleId="af">
    <w:name w:val="Текст выноски Знак"/>
    <w:basedOn w:val="ad"/>
    <w:rPr>
      <w:rFonts w:ascii="Segoe UI" w:eastAsia="Segoe UI" w:hAnsi="Segoe UI" w:cs="Segoe UI"/>
      <w:sz w:val="18"/>
      <w:szCs w:val="18"/>
    </w:rPr>
  </w:style>
  <w:style w:type="character" w:customStyle="1" w:styleId="af0">
    <w:name w:val="Верхний колонтитул Знак"/>
    <w:basedOn w:val="ad"/>
  </w:style>
  <w:style w:type="character" w:customStyle="1" w:styleId="af1">
    <w:name w:val="Нижний колонтитул Знак"/>
    <w:basedOn w:val="ad"/>
  </w:style>
  <w:style w:type="character" w:customStyle="1" w:styleId="211pt">
    <w:name w:val="Основной текст (2) + 11 pt"/>
    <w:basedOn w:val="ad"/>
    <w:rPr>
      <w:rFonts w:ascii="Times New Roman" w:eastAsia="Times New Roman" w:hAnsi="Times New Roman" w:cs="Times New Roman"/>
      <w:i w:val="0"/>
      <w:iCs w:val="0"/>
      <w:caps w:val="0"/>
      <w:smallCaps w:val="0"/>
      <w:color w:val="000000"/>
      <w:spacing w:val="0"/>
      <w:w w:val="100"/>
      <w:sz w:val="22"/>
      <w:szCs w:val="22"/>
      <w:shd w:val="clear" w:color="auto" w:fill="FFFFFF"/>
      <w:lang w:val="uk-UA" w:eastAsia="uk-UA" w:bidi="uk-UA"/>
    </w:rPr>
  </w:style>
  <w:style w:type="character" w:customStyle="1" w:styleId="cef1edeee2edeee9f8f0e8f4f2e0e1e7e0f6e0">
    <w:name w:val="Оceсf1нedоeeвe2нedоeeйe9 шf8рf0иe8фf4тf2 аe0бe1зe7аe0цf6аe0"/>
  </w:style>
  <w:style w:type="character" w:customStyle="1" w:styleId="Internetlink">
    <w:name w:val="Internet link"/>
    <w:rPr>
      <w:color w:val="000080"/>
      <w:u w:val="single"/>
    </w:rPr>
  </w:style>
  <w:style w:type="character" w:customStyle="1" w:styleId="af2">
    <w:name w:val="Выделение"/>
    <w:rPr>
      <w:i/>
      <w:iCs/>
    </w:rPr>
  </w:style>
  <w:style w:type="numbering" w:customStyle="1" w:styleId="WWOutlineListStyle38">
    <w:name w:val="WW_OutlineListStyle_38"/>
    <w:basedOn w:val="a3"/>
    <w:pPr>
      <w:numPr>
        <w:numId w:val="2"/>
      </w:numPr>
    </w:pPr>
  </w:style>
  <w:style w:type="numbering" w:customStyle="1" w:styleId="WWOutlineListStyle37">
    <w:name w:val="WW_OutlineListStyle_37"/>
    <w:basedOn w:val="a3"/>
    <w:pPr>
      <w:numPr>
        <w:numId w:val="3"/>
      </w:numPr>
    </w:pPr>
  </w:style>
  <w:style w:type="numbering" w:customStyle="1" w:styleId="WWOutlineListStyle36">
    <w:name w:val="WW_OutlineListStyle_36"/>
    <w:basedOn w:val="a3"/>
    <w:pPr>
      <w:numPr>
        <w:numId w:val="4"/>
      </w:numPr>
    </w:pPr>
  </w:style>
  <w:style w:type="numbering" w:customStyle="1" w:styleId="WWOutlineListStyle35">
    <w:name w:val="WW_OutlineListStyle_35"/>
    <w:basedOn w:val="a3"/>
    <w:pPr>
      <w:numPr>
        <w:numId w:val="5"/>
      </w:numPr>
    </w:pPr>
  </w:style>
  <w:style w:type="numbering" w:customStyle="1" w:styleId="WWOutlineListStyle34">
    <w:name w:val="WW_OutlineListStyle_34"/>
    <w:basedOn w:val="a3"/>
    <w:pPr>
      <w:numPr>
        <w:numId w:val="6"/>
      </w:numPr>
    </w:pPr>
  </w:style>
  <w:style w:type="numbering" w:customStyle="1" w:styleId="WWOutlineListStyle33">
    <w:name w:val="WW_OutlineListStyle_33"/>
    <w:basedOn w:val="a3"/>
    <w:pPr>
      <w:numPr>
        <w:numId w:val="7"/>
      </w:numPr>
    </w:pPr>
  </w:style>
  <w:style w:type="numbering" w:customStyle="1" w:styleId="WWOutlineListStyle32">
    <w:name w:val="WW_OutlineListStyle_32"/>
    <w:basedOn w:val="a3"/>
    <w:pPr>
      <w:numPr>
        <w:numId w:val="8"/>
      </w:numPr>
    </w:pPr>
  </w:style>
  <w:style w:type="numbering" w:customStyle="1" w:styleId="WWOutlineListStyle31">
    <w:name w:val="WW_OutlineListStyle_31"/>
    <w:basedOn w:val="a3"/>
    <w:pPr>
      <w:numPr>
        <w:numId w:val="9"/>
      </w:numPr>
    </w:pPr>
  </w:style>
  <w:style w:type="numbering" w:customStyle="1" w:styleId="WWOutlineListStyle30">
    <w:name w:val="WW_OutlineListStyle_30"/>
    <w:basedOn w:val="a3"/>
    <w:pPr>
      <w:numPr>
        <w:numId w:val="10"/>
      </w:numPr>
    </w:pPr>
  </w:style>
  <w:style w:type="numbering" w:customStyle="1" w:styleId="WWOutlineListStyle29">
    <w:name w:val="WW_OutlineListStyle_29"/>
    <w:basedOn w:val="a3"/>
    <w:pPr>
      <w:numPr>
        <w:numId w:val="11"/>
      </w:numPr>
    </w:pPr>
  </w:style>
  <w:style w:type="numbering" w:customStyle="1" w:styleId="WWOutlineListStyle28">
    <w:name w:val="WW_OutlineListStyle_28"/>
    <w:basedOn w:val="a3"/>
    <w:pPr>
      <w:numPr>
        <w:numId w:val="12"/>
      </w:numPr>
    </w:pPr>
  </w:style>
  <w:style w:type="numbering" w:customStyle="1" w:styleId="WWOutlineListStyle27">
    <w:name w:val="WW_OutlineListStyle_27"/>
    <w:basedOn w:val="a3"/>
    <w:pPr>
      <w:numPr>
        <w:numId w:val="13"/>
      </w:numPr>
    </w:pPr>
  </w:style>
  <w:style w:type="numbering" w:customStyle="1" w:styleId="WWOutlineListStyle26">
    <w:name w:val="WW_OutlineListStyle_26"/>
    <w:basedOn w:val="a3"/>
    <w:pPr>
      <w:numPr>
        <w:numId w:val="14"/>
      </w:numPr>
    </w:pPr>
  </w:style>
  <w:style w:type="numbering" w:customStyle="1" w:styleId="WWOutlineListStyle25">
    <w:name w:val="WW_OutlineListStyle_25"/>
    <w:basedOn w:val="a3"/>
    <w:pPr>
      <w:numPr>
        <w:numId w:val="15"/>
      </w:numPr>
    </w:pPr>
  </w:style>
  <w:style w:type="numbering" w:customStyle="1" w:styleId="WWOutlineListStyle24">
    <w:name w:val="WW_OutlineListStyle_24"/>
    <w:basedOn w:val="a3"/>
    <w:pPr>
      <w:numPr>
        <w:numId w:val="16"/>
      </w:numPr>
    </w:pPr>
  </w:style>
  <w:style w:type="numbering" w:customStyle="1" w:styleId="WWOutlineListStyle23">
    <w:name w:val="WW_OutlineListStyle_23"/>
    <w:basedOn w:val="a3"/>
    <w:pPr>
      <w:numPr>
        <w:numId w:val="17"/>
      </w:numPr>
    </w:pPr>
  </w:style>
  <w:style w:type="numbering" w:customStyle="1" w:styleId="WWOutlineListStyle22">
    <w:name w:val="WW_OutlineListStyle_22"/>
    <w:basedOn w:val="a3"/>
    <w:pPr>
      <w:numPr>
        <w:numId w:val="18"/>
      </w:numPr>
    </w:pPr>
  </w:style>
  <w:style w:type="numbering" w:customStyle="1" w:styleId="WWOutlineListStyle21">
    <w:name w:val="WW_OutlineListStyle_21"/>
    <w:basedOn w:val="a3"/>
    <w:pPr>
      <w:numPr>
        <w:numId w:val="19"/>
      </w:numPr>
    </w:pPr>
  </w:style>
  <w:style w:type="numbering" w:customStyle="1" w:styleId="WWOutlineListStyle20">
    <w:name w:val="WW_OutlineListStyle_20"/>
    <w:basedOn w:val="a3"/>
    <w:pPr>
      <w:numPr>
        <w:numId w:val="20"/>
      </w:numPr>
    </w:pPr>
  </w:style>
  <w:style w:type="numbering" w:customStyle="1" w:styleId="WWOutlineListStyle19">
    <w:name w:val="WW_OutlineListStyle_19"/>
    <w:basedOn w:val="a3"/>
    <w:pPr>
      <w:numPr>
        <w:numId w:val="21"/>
      </w:numPr>
    </w:pPr>
  </w:style>
  <w:style w:type="numbering" w:customStyle="1" w:styleId="WWOutlineListStyle18">
    <w:name w:val="WW_OutlineListStyle_18"/>
    <w:basedOn w:val="a3"/>
    <w:pPr>
      <w:numPr>
        <w:numId w:val="22"/>
      </w:numPr>
    </w:pPr>
  </w:style>
  <w:style w:type="numbering" w:customStyle="1" w:styleId="WWOutlineListStyle17">
    <w:name w:val="WW_OutlineListStyle_17"/>
    <w:basedOn w:val="a3"/>
    <w:pPr>
      <w:numPr>
        <w:numId w:val="23"/>
      </w:numPr>
    </w:pPr>
  </w:style>
  <w:style w:type="numbering" w:customStyle="1" w:styleId="WWOutlineListStyle16">
    <w:name w:val="WW_OutlineListStyle_16"/>
    <w:basedOn w:val="a3"/>
    <w:pPr>
      <w:numPr>
        <w:numId w:val="24"/>
      </w:numPr>
    </w:pPr>
  </w:style>
  <w:style w:type="numbering" w:customStyle="1" w:styleId="WWOutlineListStyle15">
    <w:name w:val="WW_OutlineListStyle_15"/>
    <w:basedOn w:val="a3"/>
    <w:pPr>
      <w:numPr>
        <w:numId w:val="25"/>
      </w:numPr>
    </w:pPr>
  </w:style>
  <w:style w:type="numbering" w:customStyle="1" w:styleId="WWOutlineListStyle14">
    <w:name w:val="WW_OutlineListStyle_14"/>
    <w:basedOn w:val="a3"/>
    <w:pPr>
      <w:numPr>
        <w:numId w:val="26"/>
      </w:numPr>
    </w:pPr>
  </w:style>
  <w:style w:type="numbering" w:customStyle="1" w:styleId="WWOutlineListStyle13">
    <w:name w:val="WW_OutlineListStyle_13"/>
    <w:basedOn w:val="a3"/>
    <w:pPr>
      <w:numPr>
        <w:numId w:val="27"/>
      </w:numPr>
    </w:pPr>
  </w:style>
  <w:style w:type="numbering" w:customStyle="1" w:styleId="WWOutlineListStyle12">
    <w:name w:val="WW_OutlineListStyle_12"/>
    <w:basedOn w:val="a3"/>
    <w:pPr>
      <w:numPr>
        <w:numId w:val="28"/>
      </w:numPr>
    </w:pPr>
  </w:style>
  <w:style w:type="numbering" w:customStyle="1" w:styleId="WWOutlineListStyle11">
    <w:name w:val="WW_OutlineListStyle_11"/>
    <w:basedOn w:val="a3"/>
    <w:pPr>
      <w:numPr>
        <w:numId w:val="29"/>
      </w:numPr>
    </w:pPr>
  </w:style>
  <w:style w:type="numbering" w:customStyle="1" w:styleId="WWOutlineListStyle10">
    <w:name w:val="WW_OutlineListStyle_10"/>
    <w:basedOn w:val="a3"/>
    <w:pPr>
      <w:numPr>
        <w:numId w:val="30"/>
      </w:numPr>
    </w:pPr>
  </w:style>
  <w:style w:type="numbering" w:customStyle="1" w:styleId="WWOutlineListStyle9">
    <w:name w:val="WW_OutlineListStyle_9"/>
    <w:basedOn w:val="a3"/>
    <w:pPr>
      <w:numPr>
        <w:numId w:val="31"/>
      </w:numPr>
    </w:pPr>
  </w:style>
  <w:style w:type="numbering" w:customStyle="1" w:styleId="WWOutlineListStyle8">
    <w:name w:val="WW_OutlineListStyle_8"/>
    <w:basedOn w:val="a3"/>
    <w:pPr>
      <w:numPr>
        <w:numId w:val="32"/>
      </w:numPr>
    </w:pPr>
  </w:style>
  <w:style w:type="numbering" w:customStyle="1" w:styleId="WWOutlineListStyle7">
    <w:name w:val="WW_OutlineListStyle_7"/>
    <w:basedOn w:val="a3"/>
    <w:pPr>
      <w:numPr>
        <w:numId w:val="33"/>
      </w:numPr>
    </w:pPr>
  </w:style>
  <w:style w:type="numbering" w:customStyle="1" w:styleId="WWOutlineListStyle6">
    <w:name w:val="WW_OutlineListStyle_6"/>
    <w:basedOn w:val="a3"/>
    <w:pPr>
      <w:numPr>
        <w:numId w:val="34"/>
      </w:numPr>
    </w:pPr>
  </w:style>
  <w:style w:type="numbering" w:customStyle="1" w:styleId="WWOutlineListStyle5">
    <w:name w:val="WW_OutlineListStyle_5"/>
    <w:basedOn w:val="a3"/>
    <w:pPr>
      <w:numPr>
        <w:numId w:val="35"/>
      </w:numPr>
    </w:pPr>
  </w:style>
  <w:style w:type="numbering" w:customStyle="1" w:styleId="WWOutlineListStyle4">
    <w:name w:val="WW_OutlineListStyle_4"/>
    <w:basedOn w:val="a3"/>
    <w:pPr>
      <w:numPr>
        <w:numId w:val="36"/>
      </w:numPr>
    </w:pPr>
  </w:style>
  <w:style w:type="numbering" w:customStyle="1" w:styleId="WWOutlineListStyle3">
    <w:name w:val="WW_OutlineListStyle_3"/>
    <w:basedOn w:val="a3"/>
    <w:pPr>
      <w:numPr>
        <w:numId w:val="37"/>
      </w:numPr>
    </w:pPr>
  </w:style>
  <w:style w:type="numbering" w:customStyle="1" w:styleId="WWOutlineListStyle2">
    <w:name w:val="WW_OutlineListStyle_2"/>
    <w:basedOn w:val="a3"/>
    <w:pPr>
      <w:numPr>
        <w:numId w:val="38"/>
      </w:numPr>
    </w:pPr>
  </w:style>
  <w:style w:type="numbering" w:customStyle="1" w:styleId="WWOutlineListStyle1">
    <w:name w:val="WW_OutlineListStyle_1"/>
    <w:basedOn w:val="a3"/>
    <w:pPr>
      <w:numPr>
        <w:numId w:val="39"/>
      </w:numPr>
    </w:pPr>
  </w:style>
  <w:style w:type="numbering" w:customStyle="1" w:styleId="WWOutlineListStyle">
    <w:name w:val="WW_OutlineListStyle"/>
    <w:basedOn w:val="a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12153</Words>
  <Characters>6928</Characters>
  <Application>Microsoft Office Word</Application>
  <DocSecurity>0</DocSecurity>
  <Lines>57</Lines>
  <Paragraphs>38</Paragraphs>
  <ScaleCrop>false</ScaleCrop>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Даниил Сазонов</cp:lastModifiedBy>
  <cp:revision>2</cp:revision>
  <cp:lastPrinted>2021-11-02T12:43:00Z</cp:lastPrinted>
  <dcterms:created xsi:type="dcterms:W3CDTF">2025-07-10T12:36:00Z</dcterms:created>
  <dcterms:modified xsi:type="dcterms:W3CDTF">2025-07-10T12:36:00Z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