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66" w:rsidRPr="00B864FD" w:rsidRDefault="00B864FD" w:rsidP="00B864FD">
      <w:pPr>
        <w:ind w:left="284" w:right="-284"/>
        <w:jc w:val="center"/>
        <w:rPr>
          <w:rFonts w:ascii="Times New Roman" w:hAnsi="Times New Roman" w:cs="Times New Roman"/>
          <w:b/>
        </w:rPr>
      </w:pPr>
      <w:r w:rsidRPr="00B864FD">
        <w:rPr>
          <w:rFonts w:ascii="Times New Roman" w:hAnsi="Times New Roman" w:cs="Times New Roman"/>
          <w:b/>
        </w:rPr>
        <w:t>ЯК МАЮТЬ ДІЯТИ ДЕРЖАВНІ ОРГАНИ У РАЗІ ВИЗНАННЯ ЇХНІХ ПРАЦІВНИКІВ ВИННИМИ У ВЧИНЕННІ КОРУПЦІЙНОГО ПРАВОПОРУШЕННЯ АБО ПРАВОПОРУШЕННЯ, ПОВ’ЯЗАНОГО З КОРУПЦІЄЮ</w:t>
      </w:r>
    </w:p>
    <w:p w:rsidR="00B864FD" w:rsidRPr="00B864FD" w:rsidRDefault="00B864FD" w:rsidP="00B864FD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Згідно з Законом України “Про державну службу”, держ</w:t>
      </w:r>
      <w:r w:rsidR="000F5B18">
        <w:rPr>
          <w:rFonts w:ascii="Times New Roman" w:hAnsi="Times New Roman" w:cs="Times New Roman"/>
          <w:sz w:val="24"/>
          <w:szCs w:val="24"/>
        </w:rPr>
        <w:t xml:space="preserve">авного </w:t>
      </w:r>
      <w:r w:rsidRPr="00B864FD">
        <w:rPr>
          <w:rFonts w:ascii="Times New Roman" w:hAnsi="Times New Roman" w:cs="Times New Roman"/>
          <w:sz w:val="24"/>
          <w:szCs w:val="24"/>
        </w:rPr>
        <w:t>службовця, що вчинив корупційне правопорушення, мають звільнити протягом трьох днів після отримання рішення суду, якщо:</w:t>
      </w:r>
    </w:p>
    <w:p w:rsidR="00B864FD" w:rsidRPr="00B864FD" w:rsidRDefault="00B864FD" w:rsidP="00B864FD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суд позбавив його права обіймати певні посади чи займатися певною діяльністю;</w:t>
      </w:r>
    </w:p>
    <w:p w:rsidR="00B864FD" w:rsidRPr="00B864FD" w:rsidRDefault="00B864FD" w:rsidP="00B864FD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обвинувальний вирок суду визнає держслужбовця винним у вчиненні умисного – в тому числі корупційного – злочину.</w:t>
      </w:r>
    </w:p>
    <w:p w:rsidR="00B864FD" w:rsidRPr="00B864FD" w:rsidRDefault="00B864FD" w:rsidP="00B864FD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Якщо ж суд не застосував до такого держслужбовця покарання чи не позбавив права обіймати певні посади чи здійснювати певну діяльність, пов’язану з виконанням функцій держави, державний орган має розпочати щодо нього дисциплінарне провадження. Підставами для провадження можуть бути:</w:t>
      </w:r>
    </w:p>
    <w:p w:rsidR="00B864FD" w:rsidRPr="00B864FD" w:rsidRDefault="00B864FD" w:rsidP="00B864FD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ухвала про звільнення службовця від кримінальної відповідальності через закінчення строків давності;</w:t>
      </w:r>
    </w:p>
    <w:p w:rsidR="00B864FD" w:rsidRPr="00B864FD" w:rsidRDefault="00B864FD" w:rsidP="00B864FD">
      <w:pPr>
        <w:pStyle w:val="a3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постанова про адміністративне правопорушення ухвалена без позбавлення права обіймати певні посади чи займатися певною діяльністю;</w:t>
      </w:r>
    </w:p>
    <w:p w:rsidR="00B864FD" w:rsidRDefault="00B864FD" w:rsidP="00B864FD">
      <w:pPr>
        <w:pStyle w:val="a3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4FD">
        <w:rPr>
          <w:rFonts w:ascii="Times New Roman" w:hAnsi="Times New Roman" w:cs="Times New Roman"/>
          <w:sz w:val="24"/>
          <w:szCs w:val="24"/>
        </w:rPr>
        <w:t>постанова про закриття справи з нереабілітуючих підстав (у зв’язку з закінченням строків накладення адміністративного стягнення, малозначністю правопорушення).</w:t>
      </w:r>
    </w:p>
    <w:p w:rsidR="00B864FD" w:rsidRDefault="00B864FD" w:rsidP="00B864FD">
      <w:pPr>
        <w:pStyle w:val="a3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Державні службовці підлягають притягненню до відповідальності за вчинення правопорушення або правопорушення, пов’язаного з корупцією, на підставі частини другої статті 65 Закону України «Про запобігання корупції», пунктів 3, 4 частини першої, частини другої </w:t>
      </w:r>
      <w:r w:rsidR="0062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статті </w:t>
      </w:r>
      <w:r w:rsidR="00621395">
        <w:rPr>
          <w:rFonts w:ascii="Times New Roman" w:hAnsi="Times New Roman" w:cs="Times New Roman"/>
          <w:sz w:val="24"/>
          <w:szCs w:val="24"/>
        </w:rPr>
        <w:t>84 Закону України «Про державну службу».</w:t>
      </w:r>
    </w:p>
    <w:p w:rsidR="00621395" w:rsidRDefault="00B864FD" w:rsidP="00621395">
      <w:pPr>
        <w:pStyle w:val="a3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роз’яснення Національного агентства з питань запобігання корупції</w:t>
      </w:r>
      <w:r w:rsidR="004401F5">
        <w:rPr>
          <w:rFonts w:ascii="Times New Roman" w:hAnsi="Times New Roman" w:cs="Times New Roman"/>
          <w:sz w:val="24"/>
          <w:szCs w:val="24"/>
        </w:rPr>
        <w:t xml:space="preserve"> (далі – НАЗК)</w:t>
      </w:r>
      <w:r>
        <w:rPr>
          <w:rFonts w:ascii="Times New Roman" w:hAnsi="Times New Roman" w:cs="Times New Roman"/>
          <w:sz w:val="24"/>
          <w:szCs w:val="24"/>
        </w:rPr>
        <w:t xml:space="preserve"> від 06 червня 2020 року № 3 «Щодо порядку дій державних органів після визнання державних службовців судом винними у вчиненні корупційного правопорушення або правопорушення, пов’язаного з корупцією»</w:t>
      </w:r>
      <w:r w:rsidR="00621395">
        <w:rPr>
          <w:rFonts w:ascii="Times New Roman" w:hAnsi="Times New Roman" w:cs="Times New Roman"/>
          <w:sz w:val="24"/>
          <w:szCs w:val="24"/>
        </w:rPr>
        <w:t xml:space="preserve">, залежно від судового рішення, згідно з яким державного службовця визнано винним у вчиненні корупційного правопорушення або правопорушення, пов’язаного з корупцією, він може бути звільнений  з державної служби або притягнутий до дисциплінарної відповідальності. </w:t>
      </w:r>
    </w:p>
    <w:p w:rsidR="00B864FD" w:rsidRDefault="00621395" w:rsidP="00621395">
      <w:pPr>
        <w:pStyle w:val="a3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Зокрема, на виконання пунктів 3, 4 частини першої, частини другої статті 84 Закону України «Про державну службу» державний службовець підлягає звільненню з державної служби у разі набрання законної сили:</w:t>
      </w:r>
    </w:p>
    <w:p w:rsidR="00621395" w:rsidRDefault="00621395" w:rsidP="00621395">
      <w:pPr>
        <w:pStyle w:val="a3"/>
        <w:numPr>
          <w:ilvl w:val="0"/>
          <w:numId w:val="1"/>
        </w:numPr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95">
        <w:rPr>
          <w:rFonts w:ascii="Times New Roman" w:hAnsi="Times New Roman" w:cs="Times New Roman"/>
          <w:sz w:val="24"/>
          <w:szCs w:val="24"/>
        </w:rPr>
        <w:t>рішенням суду щодо притягнення державного службовця до адміністративної відповідальності за пов’язане з корупцією правопорушення, яким на особу накладено стягнення у виді позбавлення права обіймати певні посади або займатися певною діяльністю, що пов’язані з виконанням функцій держави або 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395" w:rsidRDefault="00621395" w:rsidP="00621395">
      <w:pPr>
        <w:pStyle w:val="a3"/>
        <w:numPr>
          <w:ilvl w:val="0"/>
          <w:numId w:val="1"/>
        </w:numPr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395">
        <w:rPr>
          <w:rFonts w:ascii="Times New Roman" w:hAnsi="Times New Roman" w:cs="Times New Roman"/>
          <w:sz w:val="24"/>
          <w:szCs w:val="24"/>
        </w:rPr>
        <w:t>обвинувальним вироком суду</w:t>
      </w:r>
      <w:r w:rsidR="00B0092A">
        <w:rPr>
          <w:rFonts w:ascii="Times New Roman" w:hAnsi="Times New Roman" w:cs="Times New Roman"/>
          <w:sz w:val="24"/>
          <w:szCs w:val="24"/>
        </w:rPr>
        <w:t>, яким</w:t>
      </w:r>
      <w:r w:rsidRPr="00621395">
        <w:rPr>
          <w:rFonts w:ascii="Times New Roman" w:hAnsi="Times New Roman" w:cs="Times New Roman"/>
          <w:sz w:val="24"/>
          <w:szCs w:val="24"/>
        </w:rPr>
        <w:t xml:space="preserve"> державного службовця </w:t>
      </w:r>
      <w:r w:rsidR="00B0092A">
        <w:rPr>
          <w:rFonts w:ascii="Times New Roman" w:hAnsi="Times New Roman" w:cs="Times New Roman"/>
          <w:sz w:val="24"/>
          <w:szCs w:val="24"/>
        </w:rPr>
        <w:t xml:space="preserve">визнано винним у вчиненні умисного, зокрема, корупційного злочину </w:t>
      </w:r>
      <w:r w:rsidR="005E2516">
        <w:rPr>
          <w:rFonts w:ascii="Times New Roman" w:hAnsi="Times New Roman" w:cs="Times New Roman"/>
          <w:sz w:val="24"/>
          <w:szCs w:val="24"/>
        </w:rPr>
        <w:t xml:space="preserve">(перелік корупційних злочинів визначено у примітці статті 45 Кримінального кодексу України) </w:t>
      </w:r>
      <w:r w:rsidR="00B0092A">
        <w:rPr>
          <w:rFonts w:ascii="Times New Roman" w:hAnsi="Times New Roman" w:cs="Times New Roman"/>
          <w:sz w:val="24"/>
          <w:szCs w:val="24"/>
        </w:rPr>
        <w:t>незалежно від призначення покарання у вигляді позбавлення права обіймати певні посади або займатися певною діяльністю, у тому числі у разі звільнення від покарання.</w:t>
      </w:r>
    </w:p>
    <w:p w:rsidR="00B0092A" w:rsidRDefault="00B0092A" w:rsidP="00B0092A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Водночас, особа, яка вчинила корупційне правопорушення або правопорушення, пов’язане з корупцією, </w:t>
      </w:r>
      <w:r w:rsidRPr="00B0092A">
        <w:rPr>
          <w:rFonts w:ascii="Times New Roman" w:hAnsi="Times New Roman" w:cs="Times New Roman"/>
          <w:sz w:val="24"/>
          <w:szCs w:val="24"/>
        </w:rPr>
        <w:t xml:space="preserve">однак судом не застосовано  до неї покарання або не накладено на неї стягнення </w:t>
      </w:r>
      <w:r>
        <w:rPr>
          <w:rFonts w:ascii="Times New Roman" w:hAnsi="Times New Roman" w:cs="Times New Roman"/>
          <w:sz w:val="24"/>
          <w:szCs w:val="24"/>
        </w:rPr>
        <w:t>у вигляді позбавлення права обіймати певні посади або займатися певною діяльністю, пов’язаними з виконанням функцій держави або місцевого самоврядування (або такою, що прирівнюється  до цієї діяльності), підлягає притягненню до дисциплінарної відповідальності на підставі частини другої статті 65 Закону України «Про запобігання корупції».</w:t>
      </w:r>
    </w:p>
    <w:p w:rsidR="00B0092A" w:rsidRDefault="00B0092A" w:rsidP="00B0092A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Підставою для порушення дисциплінарного провадження щодо державного службовця є отримання органом публічної влади одного з таких рішень суду:</w:t>
      </w:r>
    </w:p>
    <w:p w:rsidR="00B0092A" w:rsidRDefault="00B0092A" w:rsidP="00B0092A">
      <w:pPr>
        <w:pStyle w:val="a3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ухвали про звільнення від кримінальної відповідальності за вчинення корупційного правопорушення у зв’язку із закінченням строків давності;</w:t>
      </w:r>
    </w:p>
    <w:p w:rsidR="00B0092A" w:rsidRDefault="00B0092A" w:rsidP="00B0092A">
      <w:pPr>
        <w:pStyle w:val="a3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постанови у справі про адміністративне правопорушення, пов’язане з корупцією, згідно з якою особу притягнуто до адміністративної відповідальності без накладення стягнення у вигляді права обіймати певні посади або займатися певною діяльністю</w:t>
      </w:r>
      <w:r w:rsidR="00D30A70">
        <w:rPr>
          <w:rFonts w:ascii="Times New Roman" w:hAnsi="Times New Roman" w:cs="Times New Roman"/>
          <w:sz w:val="24"/>
          <w:szCs w:val="24"/>
        </w:rPr>
        <w:t>;</w:t>
      </w:r>
    </w:p>
    <w:p w:rsidR="00D30A70" w:rsidRDefault="00D30A70" w:rsidP="00B0092A">
      <w:pPr>
        <w:pStyle w:val="a3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 про закриття справи про адміністративне правопорушення з нереабілітуючих підстав (зокрема, у зв’язку із закінченням строків накладення адміністративного стягнення, передбачених у статті 38 Кодексу України про адміністративні правопорушення, а також у разі звільнення від адміністративної відповідальності  при малозначності правопорушення на підставі статті 22 Кодексу України про адміністративні правопорушення.</w:t>
      </w:r>
    </w:p>
    <w:p w:rsidR="005E2516" w:rsidRDefault="005E2516" w:rsidP="005E2516">
      <w:pPr>
        <w:pStyle w:val="a3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E2516" w:rsidRPr="005E2516" w:rsidRDefault="005E2516" w:rsidP="00371C7C">
      <w:pPr>
        <w:pStyle w:val="a3"/>
        <w:ind w:left="567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516">
        <w:rPr>
          <w:rFonts w:ascii="Times New Roman" w:hAnsi="Times New Roman" w:cs="Times New Roman"/>
          <w:b/>
          <w:i/>
          <w:sz w:val="24"/>
          <w:szCs w:val="24"/>
        </w:rPr>
        <w:t>ПОРЯДОК ДІЙ ОРГАНУ ВЛАДИ ПІСЛЯ ОТРИМАННЯ РІШЕННЯ СУДУ</w:t>
      </w:r>
    </w:p>
    <w:p w:rsidR="005E2516" w:rsidRDefault="005E2516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516" w:rsidRDefault="005E2516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набрання законної сили рішення суду щодо притягнення державного службовця до адміністративної чи кримінальної відповідальності, які є підставою для припинення державної служби, суб’єкт призначення</w:t>
      </w:r>
      <w:r w:rsidR="004401F5">
        <w:rPr>
          <w:rFonts w:ascii="Times New Roman" w:hAnsi="Times New Roman" w:cs="Times New Roman"/>
          <w:sz w:val="24"/>
          <w:szCs w:val="24"/>
        </w:rPr>
        <w:t xml:space="preserve"> звільняє державного службовця у триденний строк з дня настання або встановлення відповідного факту  на виконання частини другої статті 84 Закону України «Про державну службу».</w:t>
      </w:r>
    </w:p>
    <w:p w:rsidR="004401F5" w:rsidRDefault="004401F5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отримання органом державної влади одного з рішень суду, що є підставою для порушення дисциплінарного провадження щодо державного службовця, розпочинається процедура притягнення його до дисциплінарної відповідальності.</w:t>
      </w:r>
    </w:p>
    <w:p w:rsidR="004401F5" w:rsidRDefault="004401F5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Моментом виявлення правопорушення, з якого починається відлік строку притягнення до дисциплінарної відповідальності, слід вважати день отримання державним органом інформації щодо вчинення державним службовцем корупційного або пов’язаного з корупцією правопорушення.</w:t>
      </w:r>
    </w:p>
    <w:p w:rsidR="004401F5" w:rsidRDefault="004401F5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отримання відповідної інформації з метою забезпечення строків притягнення державного службовця до дисциплінарної відповідальності, НАЗК рекомендує дисциплінарне провадження щодо такого працівника порушувати невідкладно.</w:t>
      </w:r>
    </w:p>
    <w:p w:rsidR="004401F5" w:rsidRDefault="004401F5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притягнення державного службовця до дисциплінарної відповідальності передбачена у главі 2  «Засади дисциплінарної відповідальності»</w:t>
      </w:r>
      <w:r w:rsidR="00B04DF0">
        <w:rPr>
          <w:rFonts w:ascii="Times New Roman" w:hAnsi="Times New Roman" w:cs="Times New Roman"/>
          <w:sz w:val="24"/>
          <w:szCs w:val="24"/>
        </w:rPr>
        <w:t xml:space="preserve"> Закону України «Про державну службу» та Порядку здійснення дисциплінарного провадження, затвердженого постановою Кабінету Міністрів України від 04 грудня 2019 року № 1039. Склад дисциплінарного проступ</w:t>
      </w:r>
      <w:r w:rsidR="00D43344">
        <w:rPr>
          <w:rFonts w:ascii="Times New Roman" w:hAnsi="Times New Roman" w:cs="Times New Roman"/>
          <w:sz w:val="24"/>
          <w:szCs w:val="24"/>
        </w:rPr>
        <w:t>ку визначається на підставі відповідного рішення суду.</w:t>
      </w:r>
    </w:p>
    <w:p w:rsidR="00D43344" w:rsidRDefault="00D43344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Суб’єкт призначення визначає строк здійснення дисциплінарного  провадження, який не може перевищувати 15 календарних днів. За потреби зазначений строк може бути продовжений до одного місяця.</w:t>
      </w:r>
    </w:p>
    <w:p w:rsidR="00D43344" w:rsidRDefault="00D43344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Дисциплінарне стягнення на державного службовця  накладається не пізніше шести місяців з дня виявлення дисциплінарного проступку, але не більше одного року з дня його вчинення (частина третя статті 65, частина п’ята статті 74 Закону України «Про державну службу»</w:t>
      </w:r>
      <w:r w:rsidR="005D623A">
        <w:rPr>
          <w:rFonts w:ascii="Times New Roman" w:hAnsi="Times New Roman" w:cs="Times New Roman"/>
          <w:sz w:val="24"/>
          <w:szCs w:val="24"/>
        </w:rPr>
        <w:t>).</w:t>
      </w:r>
    </w:p>
    <w:p w:rsidR="005D623A" w:rsidRDefault="005D623A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результатами дисциплінарного провадження на державного службовця накладається один з видів дисциплінарних стягнень, визначених у статті 66 Закону України «Про державну службу» з дотриманням вищезазначених строків.</w:t>
      </w:r>
    </w:p>
    <w:p w:rsidR="005D623A" w:rsidRDefault="005D623A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день підписання розпорядчого документа про накладення на особу або зняття з неї дисциплінарного стягнення за вчинення корупційного або пов’язаного з корупцією правопорушення до НАЗК направляється паперова копія відповідного розпорядчого документа разом з інформаційною карткою до розпорядчого документа (абзац четвертий частини першої статті 59 Закону України «Про запобігання корупції», пункт 4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Положення про Єдиний державний реєстр осіб, які вчинили корупційні або пов’язані з корупцією правопорушення, затвердженого рішенням НАЗК від 09 лютого 2018 року № 166).</w:t>
      </w:r>
    </w:p>
    <w:p w:rsidR="00371C7C" w:rsidRDefault="00371C7C" w:rsidP="005E2516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C7C" w:rsidRDefault="00371C7C" w:rsidP="00371C7C">
      <w:pPr>
        <w:pStyle w:val="a3"/>
        <w:ind w:right="-28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1C7C">
        <w:rPr>
          <w:rFonts w:ascii="Times New Roman" w:hAnsi="Times New Roman" w:cs="Times New Roman"/>
          <w:b/>
          <w:i/>
          <w:sz w:val="24"/>
          <w:szCs w:val="24"/>
        </w:rPr>
        <w:t>НАСЛІДКИ ПРИТЯГНЕННЯ ДЕРЖАВНИХ СЛУЖБОВЦІВ ДО ДИСЦИПЛІНАРНОЇ ВІДПОВІДАЛЬНОСТІ</w:t>
      </w:r>
    </w:p>
    <w:p w:rsidR="00371C7C" w:rsidRDefault="00371C7C" w:rsidP="00371C7C">
      <w:pPr>
        <w:pStyle w:val="a3"/>
        <w:ind w:right="-28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C7C" w:rsidRDefault="00371C7C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разі, якщо державний орган не застосував вимоги щодо дисциплінарної відповідальності на підставі частини другої статті 65 Закону України «Про запобігання корупції», НАЗК вносить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припис щодо усунення порушень законодавства, проведення службового розслідування, притягнення винної особи до встановленої законом відповідальності згідно з частиною другою статті 12 Закону України «Про запобігання корупції». Відповідна процедура регламентована </w:t>
      </w:r>
      <w:r w:rsidR="002268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орядком проведення службового розслідування стосовно осіб, уповноважених на виконання функцій держави або міс</w:t>
      </w:r>
      <w:r w:rsidR="00226899">
        <w:rPr>
          <w:rFonts w:ascii="Times New Roman" w:hAnsi="Times New Roman" w:cs="Times New Roman"/>
          <w:sz w:val="24"/>
          <w:szCs w:val="24"/>
        </w:rPr>
        <w:t>цевого самоврядування, та осіб,</w:t>
      </w:r>
      <w:r>
        <w:rPr>
          <w:rFonts w:ascii="Times New Roman" w:hAnsi="Times New Roman" w:cs="Times New Roman"/>
          <w:sz w:val="24"/>
          <w:szCs w:val="24"/>
        </w:rPr>
        <w:t xml:space="preserve"> які для цілей Закону України «Про запобігання корупції» прирівнюються до осіб, уповноважених на виконання функцій держави або місцевого самоврядування, затвердженого постановою Кабінету Міністрів України </w:t>
      </w:r>
      <w:r w:rsidR="002268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від 13 червня 2000 року № 950 (</w:t>
      </w:r>
      <w:r w:rsidR="00226899">
        <w:rPr>
          <w:rFonts w:ascii="Times New Roman" w:hAnsi="Times New Roman" w:cs="Times New Roman"/>
          <w:sz w:val="24"/>
          <w:szCs w:val="24"/>
        </w:rPr>
        <w:t>із зміна</w:t>
      </w:r>
      <w:r>
        <w:rPr>
          <w:rFonts w:ascii="Times New Roman" w:hAnsi="Times New Roman" w:cs="Times New Roman"/>
          <w:sz w:val="24"/>
          <w:szCs w:val="24"/>
        </w:rPr>
        <w:t>ми)</w:t>
      </w:r>
      <w:r w:rsidR="00226899">
        <w:rPr>
          <w:rFonts w:ascii="Times New Roman" w:hAnsi="Times New Roman" w:cs="Times New Roman"/>
          <w:sz w:val="24"/>
          <w:szCs w:val="24"/>
        </w:rPr>
        <w:t>.</w:t>
      </w:r>
    </w:p>
    <w:p w:rsidR="00226899" w:rsidRDefault="00226899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Невиконання уповноваженою посадовою особою законних вимог (приписів) НАЗК щодо усунення порушень законодавства про запобігання і протидію корупції, ненадання інформації, документів</w:t>
      </w:r>
      <w:r w:rsidR="000F5B18">
        <w:rPr>
          <w:rFonts w:ascii="Times New Roman" w:hAnsi="Times New Roman" w:cs="Times New Roman"/>
          <w:sz w:val="24"/>
          <w:szCs w:val="24"/>
        </w:rPr>
        <w:t>, а також порушення встановлених законодавством строків їх надання, надання завідомо недостовірної інформації або не у повному обсязі тягнуть за собою адміністративну відповідальність згідно зі статтею 188-46 Кодексу України про адміністративні правопорушення.</w:t>
      </w: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B18" w:rsidRP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18" w:rsidRP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18" w:rsidRP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18" w:rsidRPr="000F5B18" w:rsidRDefault="000F5B18" w:rsidP="00371C7C">
      <w:pPr>
        <w:pStyle w:val="a3"/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B18">
        <w:rPr>
          <w:rFonts w:ascii="Times New Roman" w:hAnsi="Times New Roman" w:cs="Times New Roman"/>
          <w:i/>
          <w:sz w:val="24"/>
          <w:szCs w:val="24"/>
        </w:rPr>
        <w:t>Пам’ятка розроблена управлінням взаємодії з правоохоронними органами, запобігання та виявлення корупції облдержадміністрації</w:t>
      </w:r>
    </w:p>
    <w:sectPr w:rsidR="000F5B18" w:rsidRPr="000F5B18" w:rsidSect="00371C7C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4A" w:rsidRDefault="00A10F4A" w:rsidP="00371C7C">
      <w:pPr>
        <w:spacing w:after="0" w:line="240" w:lineRule="auto"/>
      </w:pPr>
      <w:r>
        <w:separator/>
      </w:r>
    </w:p>
  </w:endnote>
  <w:endnote w:type="continuationSeparator" w:id="0">
    <w:p w:rsidR="00A10F4A" w:rsidRDefault="00A10F4A" w:rsidP="0037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4A" w:rsidRDefault="00A10F4A" w:rsidP="00371C7C">
      <w:pPr>
        <w:spacing w:after="0" w:line="240" w:lineRule="auto"/>
      </w:pPr>
      <w:r>
        <w:separator/>
      </w:r>
    </w:p>
  </w:footnote>
  <w:footnote w:type="continuationSeparator" w:id="0">
    <w:p w:rsidR="00A10F4A" w:rsidRDefault="00A10F4A" w:rsidP="0037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0129"/>
      <w:docPartObj>
        <w:docPartGallery w:val="Page Numbers (Top of Page)"/>
        <w:docPartUnique/>
      </w:docPartObj>
    </w:sdtPr>
    <w:sdtContent>
      <w:p w:rsidR="00371C7C" w:rsidRDefault="00371C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18" w:rsidRPr="000F5B18">
          <w:rPr>
            <w:noProof/>
            <w:lang w:val="ru-RU"/>
          </w:rPr>
          <w:t>3</w:t>
        </w:r>
        <w:r>
          <w:fldChar w:fldCharType="end"/>
        </w:r>
      </w:p>
    </w:sdtContent>
  </w:sdt>
  <w:p w:rsidR="00371C7C" w:rsidRDefault="00371C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849"/>
    <w:multiLevelType w:val="hybridMultilevel"/>
    <w:tmpl w:val="C73CE934"/>
    <w:lvl w:ilvl="0" w:tplc="76DE7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E5CAA"/>
    <w:multiLevelType w:val="hybridMultilevel"/>
    <w:tmpl w:val="412EF74A"/>
    <w:lvl w:ilvl="0" w:tplc="CD164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2D"/>
    <w:rsid w:val="000F5B18"/>
    <w:rsid w:val="00226899"/>
    <w:rsid w:val="00371C7C"/>
    <w:rsid w:val="003C6B2D"/>
    <w:rsid w:val="004401F5"/>
    <w:rsid w:val="005D623A"/>
    <w:rsid w:val="005E2516"/>
    <w:rsid w:val="00621395"/>
    <w:rsid w:val="00A10F4A"/>
    <w:rsid w:val="00A84F66"/>
    <w:rsid w:val="00B0092A"/>
    <w:rsid w:val="00B04DF0"/>
    <w:rsid w:val="00B864FD"/>
    <w:rsid w:val="00D30A70"/>
    <w:rsid w:val="00D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628A"/>
  <w15:chartTrackingRefBased/>
  <w15:docId w15:val="{656DB029-6435-40FC-AB1A-7DF01E3D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4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1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C7C"/>
  </w:style>
  <w:style w:type="paragraph" w:styleId="a6">
    <w:name w:val="footer"/>
    <w:basedOn w:val="a"/>
    <w:link w:val="a7"/>
    <w:uiPriority w:val="99"/>
    <w:unhideWhenUsed/>
    <w:rsid w:val="00371C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C7C"/>
  </w:style>
  <w:style w:type="paragraph" w:styleId="a8">
    <w:name w:val="Balloon Text"/>
    <w:basedOn w:val="a"/>
    <w:link w:val="a9"/>
    <w:uiPriority w:val="99"/>
    <w:semiHidden/>
    <w:unhideWhenUsed/>
    <w:rsid w:val="000F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1E19-FD56-4959-AAB1-15410E8A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5576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2020-06-18T08:50:00Z</cp:lastPrinted>
  <dcterms:created xsi:type="dcterms:W3CDTF">2020-06-16T14:14:00Z</dcterms:created>
  <dcterms:modified xsi:type="dcterms:W3CDTF">2020-06-18T08:50:00Z</dcterms:modified>
</cp:coreProperties>
</file>