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BA" w:rsidRDefault="003D0BBA" w:rsidP="003D0BBA">
      <w:pPr>
        <w:pStyle w:val="a3"/>
        <w:shd w:val="clear" w:color="auto" w:fill="FFFFFF"/>
        <w:spacing w:before="0" w:beforeAutospacing="0" w:after="0" w:afterAutospacing="0" w:line="405" w:lineRule="atLeast"/>
        <w:jc w:val="center"/>
        <w:textAlignment w:val="baseline"/>
        <w:rPr>
          <w:rFonts w:ascii="ProbaProRegular" w:hAnsi="ProbaProRegular"/>
          <w:color w:val="1D1D1B"/>
          <w:sz w:val="27"/>
          <w:szCs w:val="27"/>
        </w:rPr>
      </w:pPr>
      <w:r>
        <w:rPr>
          <w:rStyle w:val="a4"/>
          <w:rFonts w:ascii="ProbaProRegular" w:hAnsi="ProbaProRegular"/>
          <w:color w:val="1D1D1B"/>
          <w:sz w:val="27"/>
          <w:szCs w:val="27"/>
          <w:bdr w:val="none" w:sz="0" w:space="0" w:color="auto" w:frame="1"/>
        </w:rPr>
        <w:t>Пам’ятка працівникам облдержадміністрації щодо обмежень, встановлених розділом IV Закону України «Про запобігання корупції»</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Пам’ятку розроблено згідно із Законом України «Про запобігання корупції» (далі – Закон). 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своїй повсякденній діяльності.</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Обмеження щодо використання службових повноважень чи свого становища</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Відповідно до статті 22 Закону суб’єктам відповідальності за корупційні правопорушення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Обмеження щодо одержання подарунків</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Відповідно до статті 23 Закону суб’єктам відповідальності за корупційні правопорушення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такими особами діяльності, пов’язаної із виконанням функцій держави або місцевого самоврядування; якщо особа, яка дарує, перебуває в підпорядкуванні такої особи);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Виключенням є подарунки, які відповідають загальновизнаним уявленням про гостинність (крім випадків,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Передбачені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xml:space="preserve">Слід пам’ятати, що подарунки, одержані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w:t>
      </w:r>
      <w:r>
        <w:rPr>
          <w:rFonts w:ascii="ProbaProRegular" w:hAnsi="ProbaProRegular"/>
          <w:color w:val="1D1D1B"/>
          <w:sz w:val="27"/>
          <w:szCs w:val="27"/>
        </w:rPr>
        <w:lastRenderedPageBreak/>
        <w:t>комунальною власністю і передаються органу, підприємству, установі чи організації у порядку, визначеному Кабінетом Міністрів України (постанова Кабінету Міністрів України від 16 листопада 2011 року №1195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Рішення, прийняте особою, уповноваженою на виконання функцій держави,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 Тобто рішення підлягають скасуванню, а укладені правочини можуть бути визнані не дійсними.</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Запобігання одержанню неправомірної вигоди або подарунка та поводження з ними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Згідно статті 24 Закону в разі надходження пропозиції щодо неправомірної вигоди або подарунка, особи, уповноважені на виконання функцій держави, незважаючи на приватні інтереси, зобов’язані невідкладно:</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відмовитися від пропозиції;</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за можливості ідентифікувати особу, яка зробила пропозицію;</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залучити свідків, якщо це можливо, у тому числі з числа співробітників;</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Про виявлення майна, що може бути неправомірною вигодою, або подарунка</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lastRenderedPageBreak/>
        <w:t>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Обмеження щодо сумісництва та суміщення з іншими видами діяльності </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Відповідно до вимог статті 25 Закону обмеження щодо сумісництва та суміщення, поширюється виключно на осіб, уповноважених на виконання функцій держави або місцевого самоврядування. Зокрема, вказаним особам забороняється: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При цьому, обмеження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Слід зазначити, що спеціальне законодавство дозволяє конкретизувати окремі положення цієї статті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lastRenderedPageBreak/>
        <w:t>Відповідно до статті 4 цього ж Закону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науковій і науково-технічній діяльності.</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Відповідно до статті 1 Закону України «Про культуру» та частини 4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Згідно з положеннями статті 1 Закону України «Про професійних творчих працівників та творчі спілки»,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У законодавстві про охорону здоров’я визначення терміну «медична практика» наявне лише в Ліцензійних умовах провадження господарської діяльності з медичної практики (в редакції наказу Міністерства охорони здоров’я України № 981 від 30 листопада 2012 року),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займатися нею в державних чи комунальних установах охорони здоров’я.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xml:space="preserve">При застосуванні обмеження в частині зайняття «підприємницькою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w:t>
      </w:r>
      <w:r>
        <w:rPr>
          <w:rFonts w:ascii="ProbaProRegular" w:hAnsi="ProbaProRegular"/>
          <w:color w:val="1D1D1B"/>
          <w:sz w:val="27"/>
          <w:szCs w:val="27"/>
        </w:rPr>
        <w:lastRenderedPageBreak/>
        <w:t>господарювання (підприємцями) з метою досягнення економічних і соціальних результатів та одержання прибутку.</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Обмеження після припинення діяльності, пов’язаної з виконанням функцій держави, місцевого самоврядування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 самоврядування, забороняється: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При цьому слід зазначити, що порушення обмеження щодо укладення трудового договору (контракту) є підставою для припинення відповідного договору. Правочини у сфері підприємницької діяльності, вчинені з порушенням вказаних вимог, можуть бути визнані недійсними.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xml:space="preserve">            Слід зазначити, що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w:t>
      </w:r>
      <w:r>
        <w:rPr>
          <w:rFonts w:ascii="ProbaProRegular" w:hAnsi="ProbaProRegular"/>
          <w:color w:val="1D1D1B"/>
          <w:sz w:val="27"/>
          <w:szCs w:val="27"/>
        </w:rPr>
        <w:lastRenderedPageBreak/>
        <w:t>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Обмеження спільної роботи близьких осіб</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Відповідно до статті 27 Закону обмеження щодо спільної роботи близьких осіб поширюється виключно на осіб, уповноважених на виконання функцій держави або місцевого самоврядування. Зокрема, вони не можуть мати у прямому підпорядкуванні близьких їм осіб або бути прямо підпорядкованими у зв’язку з виконанням повноважень близьким їм особам. У зв`язку з цим, претенденти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Зазначені обмеження щодо роботи близьких осіб не стосуються осіб, які працюють у сільських населених пунктах (крім тих, що є районними центрами), а також гірських населених пунктах.</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У разі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У разі неможливості такого переведення особа, яка перебуває у підпорядкуванні, підлягає звільненню із займаної посади.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із займаної посади. Вичерпні поняття прямого підпорядкування та близькі особи визначено статтею 1 Закону. Відповідно до статті 5 Закону України “Про статус гірських населених пунктів в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w:t>
      </w:r>
      <w:r>
        <w:rPr>
          <w:rFonts w:ascii="ProbaProRegular" w:hAnsi="ProbaProRegular"/>
          <w:color w:val="1D1D1B"/>
          <w:sz w:val="27"/>
          <w:szCs w:val="27"/>
        </w:rPr>
        <w:lastRenderedPageBreak/>
        <w:t>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Слід зазначити, що дане обмеження по суті складається з двох окремих заборон: мати в підпорядкуванні близьких осіб або бути їм прямо підпорядкованим. Тому, ситуація, коли близькі особи перебувають у відносинах прямого підпорядкування і при цьому підпорядкована особа працює у сільській місцевості, а керівник працює у місті, потребує врегулювання, оскільки має місце порушення обмеження з боку особи, яка є керівником.</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color w:val="1D1D1B"/>
          <w:sz w:val="27"/>
          <w:szCs w:val="27"/>
          <w:bdr w:val="none" w:sz="0" w:space="0" w:color="auto" w:frame="1"/>
        </w:rPr>
        <w:t>Пам’ятка підготовлена управлінням взаємодії з правоохоронними органами, запобігання та виявлення корупції облдержадміністрації</w:t>
      </w:r>
    </w:p>
    <w:p w:rsidR="00AC10F8" w:rsidRDefault="00AC10F8">
      <w:bookmarkStart w:id="0" w:name="_GoBack"/>
      <w:bookmarkEnd w:id="0"/>
    </w:p>
    <w:sectPr w:rsidR="00AC10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A"/>
    <w:rsid w:val="003D0BBA"/>
    <w:rsid w:val="00AC10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CE1D-97DC-4AFA-9EEF-E638F65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B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0BBA"/>
    <w:rPr>
      <w:b/>
      <w:bCs/>
    </w:rPr>
  </w:style>
  <w:style w:type="character" w:styleId="a5">
    <w:name w:val="Emphasis"/>
    <w:basedOn w:val="a0"/>
    <w:uiPriority w:val="20"/>
    <w:qFormat/>
    <w:rsid w:val="003D0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9007</Words>
  <Characters>5135</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2020-04-23T14:43:00Z</dcterms:created>
  <dcterms:modified xsi:type="dcterms:W3CDTF">2020-04-23T14:43:00Z</dcterms:modified>
</cp:coreProperties>
</file>