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AB" w:rsidRPr="007A51AB" w:rsidRDefault="007A51AB" w:rsidP="007A51AB">
      <w:pPr>
        <w:shd w:val="clear" w:color="auto" w:fill="FFFFFF"/>
        <w:spacing w:after="0" w:line="405" w:lineRule="atLeast"/>
        <w:jc w:val="center"/>
        <w:textAlignment w:val="baseline"/>
        <w:rPr>
          <w:rFonts w:ascii="ProbaProRegular" w:eastAsia="Times New Roman" w:hAnsi="ProbaProRegular" w:cs="Times New Roman"/>
          <w:color w:val="1D1D1B"/>
          <w:sz w:val="27"/>
          <w:szCs w:val="27"/>
          <w:lang w:eastAsia="uk-UA"/>
        </w:rPr>
      </w:pPr>
      <w:r w:rsidRPr="007A51AB">
        <w:rPr>
          <w:rFonts w:ascii="ProbaProRegular" w:eastAsia="Times New Roman" w:hAnsi="ProbaProRegular" w:cs="Times New Roman"/>
          <w:b/>
          <w:bCs/>
          <w:color w:val="1D1D1B"/>
          <w:sz w:val="27"/>
          <w:szCs w:val="27"/>
          <w:u w:val="single"/>
          <w:bdr w:val="none" w:sz="0" w:space="0" w:color="auto" w:frame="1"/>
          <w:lang w:eastAsia="uk-UA"/>
        </w:rPr>
        <w:t>Пам’ятка працівникам облдержадміністрації щодо заходів здійснення фінансового контролю</w:t>
      </w:r>
    </w:p>
    <w:p w:rsidR="007A51AB" w:rsidRPr="007A51AB" w:rsidRDefault="007A51AB" w:rsidP="007A51AB">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A51AB">
        <w:rPr>
          <w:rFonts w:ascii="ProbaProRegular" w:eastAsia="Times New Roman" w:hAnsi="ProbaProRegular" w:cs="Times New Roman"/>
          <w:color w:val="1D1D1B"/>
          <w:sz w:val="27"/>
          <w:szCs w:val="27"/>
          <w:lang w:eastAsia="uk-UA"/>
        </w:rPr>
        <w:t>Пам’ятку розроблено згідно із Законом України «Про запобігання корупції» та Кодексу України про адміністративні правопорушення.</w:t>
      </w:r>
    </w:p>
    <w:p w:rsidR="007A51AB" w:rsidRPr="007A51AB" w:rsidRDefault="007A51AB" w:rsidP="007A51AB">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A51AB">
        <w:rPr>
          <w:rFonts w:ascii="ProbaProRegular" w:eastAsia="Times New Roman" w:hAnsi="ProbaProRegular" w:cs="Times New Roman"/>
          <w:color w:val="1D1D1B"/>
          <w:sz w:val="27"/>
          <w:szCs w:val="27"/>
          <w:u w:val="single"/>
          <w:bdr w:val="none" w:sz="0" w:space="0" w:color="auto" w:frame="1"/>
          <w:lang w:eastAsia="uk-UA"/>
        </w:rPr>
        <w:t>Метою пам’ятки є</w:t>
      </w:r>
      <w:r w:rsidRPr="007A51AB">
        <w:rPr>
          <w:rFonts w:ascii="ProbaProRegular" w:eastAsia="Times New Roman" w:hAnsi="ProbaProRegular" w:cs="Times New Roman"/>
          <w:color w:val="1D1D1B"/>
          <w:sz w:val="27"/>
          <w:szCs w:val="27"/>
          <w:lang w:eastAsia="uk-UA"/>
        </w:rPr>
        <w:t> ознайомлення працівників облдержадміністрації з ключовими положеннями Закону України «Про запобігання корупції» в частині питань щодо  додаткових заходів здійснення фінансового контролю.</w:t>
      </w:r>
    </w:p>
    <w:p w:rsidR="007A51AB" w:rsidRPr="007A51AB" w:rsidRDefault="007A51AB" w:rsidP="007A51AB">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A51AB">
        <w:rPr>
          <w:rFonts w:ascii="ProbaProRegular" w:eastAsia="Times New Roman" w:hAnsi="ProbaProRegular" w:cs="Times New Roman"/>
          <w:b/>
          <w:bCs/>
          <w:color w:val="1D1D1B"/>
          <w:sz w:val="27"/>
          <w:szCs w:val="27"/>
          <w:bdr w:val="none" w:sz="0" w:space="0" w:color="auto" w:frame="1"/>
          <w:lang w:eastAsia="uk-UA"/>
        </w:rPr>
        <w:t>Стаття 52. </w:t>
      </w:r>
      <w:r w:rsidRPr="007A51AB">
        <w:rPr>
          <w:rFonts w:ascii="ProbaProRegular" w:eastAsia="Times New Roman" w:hAnsi="ProbaProRegular" w:cs="Times New Roman"/>
          <w:color w:val="1D1D1B"/>
          <w:sz w:val="27"/>
          <w:szCs w:val="27"/>
          <w:lang w:eastAsia="uk-UA"/>
        </w:rPr>
        <w:t>Додаткові заходи здійснення фінансового контролю</w:t>
      </w:r>
    </w:p>
    <w:p w:rsidR="007A51AB" w:rsidRPr="007A51AB" w:rsidRDefault="007A51AB" w:rsidP="007A51AB">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A51AB">
        <w:rPr>
          <w:rFonts w:ascii="ProbaProRegular" w:eastAsia="Times New Roman" w:hAnsi="ProbaProRegular" w:cs="Times New Roman"/>
          <w:color w:val="1D1D1B"/>
          <w:sz w:val="27"/>
          <w:szCs w:val="27"/>
          <w:lang w:eastAsia="uk-UA"/>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7A51AB" w:rsidRPr="007A51AB" w:rsidRDefault="007A51AB" w:rsidP="007A51AB">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A51AB">
        <w:rPr>
          <w:rFonts w:ascii="ProbaProRegular" w:eastAsia="Times New Roman" w:hAnsi="ProbaProRegular" w:cs="Times New Roman"/>
          <w:color w:val="1D1D1B"/>
          <w:sz w:val="27"/>
          <w:szCs w:val="27"/>
          <w:lang w:eastAsia="uk-UA"/>
        </w:rPr>
        <w:t>2. 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w:t>
      </w:r>
      <w:r w:rsidRPr="007A51AB">
        <w:rPr>
          <w:rFonts w:ascii="ProbaProRegular" w:eastAsia="Times New Roman" w:hAnsi="ProbaProRegular" w:cs="Times New Roman"/>
          <w:b/>
          <w:bCs/>
          <w:color w:val="1D1D1B"/>
          <w:sz w:val="27"/>
          <w:szCs w:val="27"/>
          <w:bdr w:val="none" w:sz="0" w:space="0" w:color="auto" w:frame="1"/>
          <w:lang w:eastAsia="uk-UA"/>
        </w:rPr>
        <w:t xml:space="preserve">( з 1.01.2020 року прожитковий мінімум встановлений у розмірі 2102 грн., таким чином </w:t>
      </w:r>
      <w:proofErr w:type="spellStart"/>
      <w:r w:rsidRPr="007A51AB">
        <w:rPr>
          <w:rFonts w:ascii="ProbaProRegular" w:eastAsia="Times New Roman" w:hAnsi="ProbaProRegular" w:cs="Times New Roman"/>
          <w:b/>
          <w:bCs/>
          <w:color w:val="1D1D1B"/>
          <w:sz w:val="27"/>
          <w:szCs w:val="27"/>
          <w:bdr w:val="none" w:sz="0" w:space="0" w:color="auto" w:frame="1"/>
          <w:lang w:eastAsia="uk-UA"/>
        </w:rPr>
        <w:t>сумма</w:t>
      </w:r>
      <w:proofErr w:type="spellEnd"/>
      <w:r w:rsidRPr="007A51AB">
        <w:rPr>
          <w:rFonts w:ascii="ProbaProRegular" w:eastAsia="Times New Roman" w:hAnsi="ProbaProRegular" w:cs="Times New Roman"/>
          <w:b/>
          <w:bCs/>
          <w:color w:val="1D1D1B"/>
          <w:sz w:val="27"/>
          <w:szCs w:val="27"/>
          <w:bdr w:val="none" w:sz="0" w:space="0" w:color="auto" w:frame="1"/>
          <w:lang w:eastAsia="uk-UA"/>
        </w:rPr>
        <w:t xml:space="preserve"> для декларування становить 105100 грн.)</w:t>
      </w:r>
      <w:r w:rsidRPr="007A51AB">
        <w:rPr>
          <w:rFonts w:ascii="ProbaProRegular" w:eastAsia="Times New Roman" w:hAnsi="ProbaProRegular" w:cs="Times New Roman"/>
          <w:color w:val="1D1D1B"/>
          <w:sz w:val="27"/>
          <w:szCs w:val="27"/>
          <w:lang w:eastAsia="uk-UA"/>
        </w:rPr>
        <w:t>,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7A51AB" w:rsidRPr="007A51AB" w:rsidRDefault="007A51AB" w:rsidP="007A51AB">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A51AB">
        <w:rPr>
          <w:rFonts w:ascii="ProbaProRegular" w:eastAsia="Times New Roman" w:hAnsi="ProbaProRegular" w:cs="Times New Roman"/>
          <w:color w:val="1D1D1B"/>
          <w:sz w:val="27"/>
          <w:szCs w:val="27"/>
          <w:lang w:eastAsia="uk-UA"/>
        </w:rPr>
        <w:t>Положення частини другої цієї статті застосовуються до суб’єктів декларування, які є службовими особами, які займають </w:t>
      </w:r>
      <w:r w:rsidRPr="007A51AB">
        <w:rPr>
          <w:rFonts w:ascii="ProbaProRegular" w:eastAsia="Times New Roman" w:hAnsi="ProbaProRegular" w:cs="Times New Roman"/>
          <w:b/>
          <w:bCs/>
          <w:color w:val="1D1D1B"/>
          <w:sz w:val="27"/>
          <w:szCs w:val="27"/>
          <w:bdr w:val="none" w:sz="0" w:space="0" w:color="auto" w:frame="1"/>
          <w:lang w:eastAsia="uk-UA"/>
        </w:rPr>
        <w:t>відповідальне та особливо відповідальне становище</w:t>
      </w:r>
      <w:r w:rsidRPr="007A51AB">
        <w:rPr>
          <w:rFonts w:ascii="ProbaProRegular" w:eastAsia="Times New Roman" w:hAnsi="ProbaProRegular" w:cs="Times New Roman"/>
          <w:color w:val="1D1D1B"/>
          <w:sz w:val="27"/>
          <w:szCs w:val="27"/>
          <w:lang w:eastAsia="uk-UA"/>
        </w:rPr>
        <w:t>, а також суб’єктів декларування, які займають </w:t>
      </w:r>
      <w:r w:rsidRPr="007A51AB">
        <w:rPr>
          <w:rFonts w:ascii="ProbaProRegular" w:eastAsia="Times New Roman" w:hAnsi="ProbaProRegular" w:cs="Times New Roman"/>
          <w:b/>
          <w:bCs/>
          <w:color w:val="1D1D1B"/>
          <w:sz w:val="27"/>
          <w:szCs w:val="27"/>
          <w:bdr w:val="none" w:sz="0" w:space="0" w:color="auto" w:frame="1"/>
          <w:lang w:eastAsia="uk-UA"/>
        </w:rPr>
        <w:t>посади, пов’язані з високим рівнем корупційних ризиків</w:t>
      </w:r>
      <w:r w:rsidRPr="007A51AB">
        <w:rPr>
          <w:rFonts w:ascii="ProbaProRegular" w:eastAsia="Times New Roman" w:hAnsi="ProbaProRegular" w:cs="Times New Roman"/>
          <w:color w:val="1D1D1B"/>
          <w:sz w:val="27"/>
          <w:szCs w:val="27"/>
          <w:lang w:eastAsia="uk-UA"/>
        </w:rPr>
        <w:t>, відповідно до </w:t>
      </w:r>
      <w:hyperlink r:id="rId5" w:anchor="n493" w:history="1">
        <w:r w:rsidRPr="007A51AB">
          <w:rPr>
            <w:rFonts w:ascii="ProbaProRegular" w:eastAsia="Times New Roman" w:hAnsi="ProbaProRegular" w:cs="Times New Roman"/>
            <w:color w:val="2D5CA6"/>
            <w:sz w:val="27"/>
            <w:szCs w:val="27"/>
            <w:bdr w:val="none" w:sz="0" w:space="0" w:color="auto" w:frame="1"/>
            <w:lang w:eastAsia="uk-UA"/>
          </w:rPr>
          <w:t>статті 50</w:t>
        </w:r>
      </w:hyperlink>
      <w:r w:rsidRPr="007A51AB">
        <w:rPr>
          <w:rFonts w:ascii="ProbaProRegular" w:eastAsia="Times New Roman" w:hAnsi="ProbaProRegular" w:cs="Times New Roman"/>
          <w:color w:val="1D1D1B"/>
          <w:sz w:val="27"/>
          <w:szCs w:val="27"/>
          <w:lang w:eastAsia="uk-UA"/>
        </w:rPr>
        <w:t> цього Закону.</w:t>
      </w:r>
    </w:p>
    <w:p w:rsidR="007A51AB" w:rsidRPr="007A51AB" w:rsidRDefault="007A51AB" w:rsidP="007A51AB">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A51AB">
        <w:rPr>
          <w:rFonts w:ascii="ProbaProRegular" w:eastAsia="Times New Roman" w:hAnsi="ProbaProRegular" w:cs="Times New Roman"/>
          <w:color w:val="1D1D1B"/>
          <w:sz w:val="27"/>
          <w:szCs w:val="27"/>
          <w:lang w:eastAsia="uk-UA"/>
        </w:rPr>
        <w:t xml:space="preserve">Примітка.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w:t>
      </w:r>
      <w:r w:rsidRPr="007A51AB">
        <w:rPr>
          <w:rFonts w:ascii="ProbaProRegular" w:eastAsia="Times New Roman" w:hAnsi="ProbaProRegular" w:cs="Times New Roman"/>
          <w:color w:val="1D1D1B"/>
          <w:sz w:val="27"/>
          <w:szCs w:val="27"/>
          <w:lang w:eastAsia="uk-UA"/>
        </w:rPr>
        <w:lastRenderedPageBreak/>
        <w:t>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Уповноважений із захисту державної мови, члени Національної комісії зі стандартів державної мови, Директор Національного антикорупційного бюро України, його перший заступник та заступник, Голова Національного агентства з питань запобігання корупції та його заступники,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Керівник Офісу Президента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w:t>
      </w:r>
      <w:hyperlink r:id="rId6" w:history="1">
        <w:r w:rsidRPr="007A51AB">
          <w:rPr>
            <w:rFonts w:ascii="ProbaProRegular" w:eastAsia="Times New Roman" w:hAnsi="ProbaProRegular" w:cs="Times New Roman"/>
            <w:color w:val="2D5CA6"/>
            <w:sz w:val="27"/>
            <w:szCs w:val="27"/>
            <w:bdr w:val="none" w:sz="0" w:space="0" w:color="auto" w:frame="1"/>
            <w:lang w:eastAsia="uk-UA"/>
          </w:rPr>
          <w:t>Закону України "Про службу в органах місцевого самоврядування"</w:t>
        </w:r>
      </w:hyperlink>
      <w:r w:rsidRPr="007A51AB">
        <w:rPr>
          <w:rFonts w:ascii="ProbaProRegular" w:eastAsia="Times New Roman" w:hAnsi="ProbaProRegular" w:cs="Times New Roman"/>
          <w:color w:val="1D1D1B"/>
          <w:sz w:val="27"/>
          <w:szCs w:val="27"/>
          <w:lang w:eastAsia="uk-UA"/>
        </w:rPr>
        <w:t> віднесені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7A51AB" w:rsidRPr="007A51AB" w:rsidRDefault="007A51AB" w:rsidP="007A51AB">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A51AB">
        <w:rPr>
          <w:rFonts w:ascii="ProbaProRegular" w:eastAsia="Times New Roman" w:hAnsi="ProbaProRegular" w:cs="Times New Roman"/>
          <w:b/>
          <w:bCs/>
          <w:color w:val="1D1D1B"/>
          <w:sz w:val="27"/>
          <w:szCs w:val="27"/>
          <w:bdr w:val="none" w:sz="0" w:space="0" w:color="auto" w:frame="1"/>
          <w:lang w:eastAsia="uk-UA"/>
        </w:rPr>
        <w:t> Відповідальність за порушення вимог фінансового контролю</w:t>
      </w:r>
    </w:p>
    <w:p w:rsidR="007A51AB" w:rsidRPr="007A51AB" w:rsidRDefault="007A51AB" w:rsidP="007A51AB">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A51AB">
        <w:rPr>
          <w:rFonts w:ascii="ProbaProRegular" w:eastAsia="Times New Roman" w:hAnsi="ProbaProRegular" w:cs="Times New Roman"/>
          <w:color w:val="1D1D1B"/>
          <w:sz w:val="27"/>
          <w:szCs w:val="27"/>
          <w:lang w:eastAsia="uk-UA"/>
        </w:rPr>
        <w:t>Відповідно до статті 172-6 Кодексу України про адміністративні правопорушення несвоєчасне подання без поважних причин декларації особи, уповноваженої на виконання функцій держави або місцевого самоврядування, - тягне за собою накладення штрафу від п’ятдесяти до ста неоподатковуваних мінімумів доходів громадян.</w:t>
      </w:r>
    </w:p>
    <w:p w:rsidR="007A51AB" w:rsidRPr="007A51AB" w:rsidRDefault="007A51AB" w:rsidP="007A51AB">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A51AB">
        <w:rPr>
          <w:rFonts w:ascii="ProbaProRegular" w:eastAsia="Times New Roman" w:hAnsi="ProbaProRegular" w:cs="Times New Roman"/>
          <w:color w:val="1D1D1B"/>
          <w:sz w:val="27"/>
          <w:szCs w:val="27"/>
          <w:lang w:eastAsia="uk-UA"/>
        </w:rPr>
        <w:t xml:space="preserve">Неповідомлення або несвоєчасне повідомлення про відкриття валютного рахунка в установі банку-нерезидента або про суттєві зміни у майновому стані -тягне за собою </w:t>
      </w:r>
      <w:r w:rsidRPr="007A51AB">
        <w:rPr>
          <w:rFonts w:ascii="ProbaProRegular" w:eastAsia="Times New Roman" w:hAnsi="ProbaProRegular" w:cs="Times New Roman"/>
          <w:color w:val="1D1D1B"/>
          <w:sz w:val="27"/>
          <w:szCs w:val="27"/>
          <w:lang w:eastAsia="uk-UA"/>
        </w:rPr>
        <w:lastRenderedPageBreak/>
        <w:t>накладення штрафу від ста до двохсот неоподатковуваних мінімумів доходів громадян.</w:t>
      </w:r>
    </w:p>
    <w:p w:rsidR="007A51AB" w:rsidRPr="007A51AB" w:rsidRDefault="007A51AB" w:rsidP="007A51AB">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A51AB">
        <w:rPr>
          <w:rFonts w:ascii="ProbaProRegular" w:eastAsia="Times New Roman" w:hAnsi="ProbaProRegular" w:cs="Times New Roman"/>
          <w:color w:val="1D1D1B"/>
          <w:sz w:val="27"/>
          <w:szCs w:val="27"/>
          <w:lang w:eastAsia="uk-UA"/>
        </w:rPr>
        <w:t>Дії, передбачені частиною першою або другою, вчинені особою, яку протягом року було піддано адміністративному стягненню за такі ж порушення, - 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7A51AB" w:rsidRPr="007A51AB" w:rsidRDefault="007A51AB" w:rsidP="007A51AB">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A51AB">
        <w:rPr>
          <w:rFonts w:ascii="ProbaProRegular" w:eastAsia="Times New Roman" w:hAnsi="ProbaProRegular" w:cs="Times New Roman"/>
          <w:color w:val="1D1D1B"/>
          <w:sz w:val="27"/>
          <w:szCs w:val="27"/>
          <w:lang w:eastAsia="uk-UA"/>
        </w:rPr>
        <w:t>Подання завідомо недостовірних відомостей у декларації особи, уповноваженої на виконання функцій держави або місцевого самоврядування, - тягне за собою накладення штрафу від однієї тисячі до двох тисяч п’ятисот неоподатковуваних мінімумів доходів громадян.</w:t>
      </w:r>
    </w:p>
    <w:p w:rsidR="007A51AB" w:rsidRPr="007A51AB" w:rsidRDefault="007A51AB" w:rsidP="007A51AB">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7A51AB">
        <w:rPr>
          <w:rFonts w:ascii="ProbaProRegular" w:eastAsia="Times New Roman" w:hAnsi="ProbaProRegular" w:cs="Times New Roman"/>
          <w:color w:val="1D1D1B"/>
          <w:sz w:val="27"/>
          <w:szCs w:val="27"/>
          <w:lang w:eastAsia="uk-UA"/>
        </w:rPr>
        <w:t>Примітка. Суб’єктом правопорушень у цій статті є особи, які відповідно до </w:t>
      </w:r>
      <w:hyperlink r:id="rId7" w:anchor="n440" w:history="1">
        <w:r w:rsidRPr="007A51AB">
          <w:rPr>
            <w:rFonts w:ascii="ProbaProRegular" w:eastAsia="Times New Roman" w:hAnsi="ProbaProRegular" w:cs="Times New Roman"/>
            <w:color w:val="2D5CA6"/>
            <w:sz w:val="27"/>
            <w:szCs w:val="27"/>
            <w:bdr w:val="none" w:sz="0" w:space="0" w:color="auto" w:frame="1"/>
            <w:lang w:eastAsia="uk-UA"/>
          </w:rPr>
          <w:t>частин першої та другої статті 45</w:t>
        </w:r>
      </w:hyperlink>
      <w:r w:rsidRPr="007A51AB">
        <w:rPr>
          <w:rFonts w:ascii="ProbaProRegular" w:eastAsia="Times New Roman" w:hAnsi="ProbaProRegular" w:cs="Times New Roman"/>
          <w:color w:val="1D1D1B"/>
          <w:sz w:val="27"/>
          <w:szCs w:val="27"/>
          <w:lang w:eastAsia="uk-UA"/>
        </w:rPr>
        <w:t>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7A51AB" w:rsidRPr="007A51AB" w:rsidRDefault="007A51AB" w:rsidP="007A51AB">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7A51AB">
        <w:rPr>
          <w:rFonts w:ascii="ProbaProRegular" w:eastAsia="Times New Roman" w:hAnsi="ProbaProRegular" w:cs="Times New Roman"/>
          <w:color w:val="1D1D1B"/>
          <w:sz w:val="27"/>
          <w:szCs w:val="27"/>
          <w:lang w:eastAsia="uk-UA"/>
        </w:rPr>
        <w:t>Відповідальність за цією статтею за подання завідомо недостовірних відомостей у декларації особи, уповноваженої на виконання функцій держави або місцевого самоврядування, стосовно майна або іншого об’єкта декларування, що має вартість, настає у випадку, якщо такі відомості відрізняються від достовірних на суму від 100 до 250 прожиткових мінімумів для працездатних осіб.</w:t>
      </w:r>
    </w:p>
    <w:p w:rsidR="007A51AB" w:rsidRPr="007A51AB" w:rsidRDefault="007A51AB" w:rsidP="007A51AB">
      <w:pPr>
        <w:shd w:val="clear" w:color="auto" w:fill="FFFFFF"/>
        <w:spacing w:after="0" w:line="405" w:lineRule="atLeast"/>
        <w:jc w:val="right"/>
        <w:textAlignment w:val="baseline"/>
        <w:rPr>
          <w:rFonts w:ascii="ProbaProRegular" w:eastAsia="Times New Roman" w:hAnsi="ProbaProRegular" w:cs="Times New Roman"/>
          <w:color w:val="1D1D1B"/>
          <w:sz w:val="27"/>
          <w:szCs w:val="27"/>
          <w:lang w:eastAsia="uk-UA"/>
        </w:rPr>
      </w:pPr>
      <w:r w:rsidRPr="007A51AB">
        <w:rPr>
          <w:rFonts w:ascii="ProbaProRegular" w:eastAsia="Times New Roman" w:hAnsi="ProbaProRegular" w:cs="Times New Roman"/>
          <w:i/>
          <w:iCs/>
          <w:color w:val="1D1D1B"/>
          <w:sz w:val="27"/>
          <w:szCs w:val="27"/>
          <w:bdr w:val="none" w:sz="0" w:space="0" w:color="auto" w:frame="1"/>
          <w:lang w:eastAsia="uk-UA"/>
        </w:rPr>
        <w:t>Пам’ятка підготовлена управлінням взаємодії з правоохоронними органами, запобігання та виявлення корупції облдержадміністрації</w:t>
      </w:r>
    </w:p>
    <w:p w:rsidR="007A51AB" w:rsidRPr="007A51AB" w:rsidRDefault="007A51AB" w:rsidP="007A51AB">
      <w:pPr>
        <w:shd w:val="clear" w:color="auto" w:fill="FFFFFF"/>
        <w:spacing w:after="0" w:line="405" w:lineRule="atLeast"/>
        <w:jc w:val="right"/>
        <w:textAlignment w:val="baseline"/>
        <w:rPr>
          <w:rFonts w:ascii="ProbaProRegular" w:eastAsia="Times New Roman" w:hAnsi="ProbaProRegular" w:cs="Times New Roman"/>
          <w:color w:val="1D1D1B"/>
          <w:sz w:val="27"/>
          <w:szCs w:val="27"/>
          <w:lang w:eastAsia="uk-UA"/>
        </w:rPr>
      </w:pPr>
      <w:r w:rsidRPr="007A51AB">
        <w:rPr>
          <w:rFonts w:ascii="ProbaProRegular" w:eastAsia="Times New Roman" w:hAnsi="ProbaProRegular" w:cs="Times New Roman"/>
          <w:b/>
          <w:bCs/>
          <w:color w:val="1D1D1B"/>
          <w:sz w:val="27"/>
          <w:szCs w:val="27"/>
          <w:bdr w:val="none" w:sz="0" w:space="0" w:color="auto" w:frame="1"/>
          <w:lang w:eastAsia="uk-UA"/>
        </w:rPr>
        <w:t> </w:t>
      </w:r>
    </w:p>
    <w:p w:rsidR="00AC10F8" w:rsidRPr="007A51AB" w:rsidRDefault="00AC10F8" w:rsidP="007A51AB">
      <w:bookmarkStart w:id="0" w:name="_GoBack"/>
      <w:bookmarkEnd w:id="0"/>
    </w:p>
    <w:sectPr w:rsidR="00AC10F8" w:rsidRPr="007A51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obaPro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D06C1"/>
    <w:multiLevelType w:val="multilevel"/>
    <w:tmpl w:val="8A48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E5456"/>
    <w:multiLevelType w:val="multilevel"/>
    <w:tmpl w:val="5488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3485C"/>
    <w:multiLevelType w:val="multilevel"/>
    <w:tmpl w:val="55D2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BA"/>
    <w:rsid w:val="003D0BBA"/>
    <w:rsid w:val="007A51AB"/>
    <w:rsid w:val="007D118A"/>
    <w:rsid w:val="007F69F4"/>
    <w:rsid w:val="00855852"/>
    <w:rsid w:val="00A962CF"/>
    <w:rsid w:val="00AC10F8"/>
    <w:rsid w:val="00CB5A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FCE1D-97DC-4AFA-9EEF-E638F65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BB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D0BBA"/>
    <w:rPr>
      <w:b/>
      <w:bCs/>
    </w:rPr>
  </w:style>
  <w:style w:type="character" w:styleId="a5">
    <w:name w:val="Emphasis"/>
    <w:basedOn w:val="a0"/>
    <w:uiPriority w:val="20"/>
    <w:qFormat/>
    <w:rsid w:val="003D0BBA"/>
    <w:rPr>
      <w:i/>
      <w:iCs/>
    </w:rPr>
  </w:style>
  <w:style w:type="character" w:styleId="a6">
    <w:name w:val="Hyperlink"/>
    <w:basedOn w:val="a0"/>
    <w:uiPriority w:val="99"/>
    <w:semiHidden/>
    <w:unhideWhenUsed/>
    <w:rsid w:val="00A962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7758">
      <w:bodyDiv w:val="1"/>
      <w:marLeft w:val="0"/>
      <w:marRight w:val="0"/>
      <w:marTop w:val="0"/>
      <w:marBottom w:val="0"/>
      <w:divBdr>
        <w:top w:val="none" w:sz="0" w:space="0" w:color="auto"/>
        <w:left w:val="none" w:sz="0" w:space="0" w:color="auto"/>
        <w:bottom w:val="none" w:sz="0" w:space="0" w:color="auto"/>
        <w:right w:val="none" w:sz="0" w:space="0" w:color="auto"/>
      </w:divBdr>
    </w:div>
    <w:div w:id="334766866">
      <w:bodyDiv w:val="1"/>
      <w:marLeft w:val="0"/>
      <w:marRight w:val="0"/>
      <w:marTop w:val="0"/>
      <w:marBottom w:val="0"/>
      <w:divBdr>
        <w:top w:val="none" w:sz="0" w:space="0" w:color="auto"/>
        <w:left w:val="none" w:sz="0" w:space="0" w:color="auto"/>
        <w:bottom w:val="none" w:sz="0" w:space="0" w:color="auto"/>
        <w:right w:val="none" w:sz="0" w:space="0" w:color="auto"/>
      </w:divBdr>
    </w:div>
    <w:div w:id="1312950909">
      <w:bodyDiv w:val="1"/>
      <w:marLeft w:val="0"/>
      <w:marRight w:val="0"/>
      <w:marTop w:val="0"/>
      <w:marBottom w:val="0"/>
      <w:divBdr>
        <w:top w:val="none" w:sz="0" w:space="0" w:color="auto"/>
        <w:left w:val="none" w:sz="0" w:space="0" w:color="auto"/>
        <w:bottom w:val="none" w:sz="0" w:space="0" w:color="auto"/>
        <w:right w:val="none" w:sz="0" w:space="0" w:color="auto"/>
      </w:divBdr>
    </w:div>
    <w:div w:id="1496720199">
      <w:bodyDiv w:val="1"/>
      <w:marLeft w:val="0"/>
      <w:marRight w:val="0"/>
      <w:marTop w:val="0"/>
      <w:marBottom w:val="0"/>
      <w:divBdr>
        <w:top w:val="none" w:sz="0" w:space="0" w:color="auto"/>
        <w:left w:val="none" w:sz="0" w:space="0" w:color="auto"/>
        <w:bottom w:val="none" w:sz="0" w:space="0" w:color="auto"/>
        <w:right w:val="none" w:sz="0" w:space="0" w:color="auto"/>
      </w:divBdr>
    </w:div>
    <w:div w:id="1617101371">
      <w:bodyDiv w:val="1"/>
      <w:marLeft w:val="0"/>
      <w:marRight w:val="0"/>
      <w:marTop w:val="0"/>
      <w:marBottom w:val="0"/>
      <w:divBdr>
        <w:top w:val="none" w:sz="0" w:space="0" w:color="auto"/>
        <w:left w:val="none" w:sz="0" w:space="0" w:color="auto"/>
        <w:bottom w:val="none" w:sz="0" w:space="0" w:color="auto"/>
        <w:right w:val="none" w:sz="0" w:space="0" w:color="auto"/>
      </w:divBdr>
    </w:div>
    <w:div w:id="1672875572">
      <w:bodyDiv w:val="1"/>
      <w:marLeft w:val="0"/>
      <w:marRight w:val="0"/>
      <w:marTop w:val="0"/>
      <w:marBottom w:val="0"/>
      <w:divBdr>
        <w:top w:val="none" w:sz="0" w:space="0" w:color="auto"/>
        <w:left w:val="none" w:sz="0" w:space="0" w:color="auto"/>
        <w:bottom w:val="none" w:sz="0" w:space="0" w:color="auto"/>
        <w:right w:val="none" w:sz="0" w:space="0" w:color="auto"/>
      </w:divBdr>
    </w:div>
    <w:div w:id="17538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93-14" TargetMode="External"/><Relationship Id="rId5"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4256</Words>
  <Characters>2427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2020-04-23T14:46:00Z</dcterms:created>
  <dcterms:modified xsi:type="dcterms:W3CDTF">2020-04-23T14:46:00Z</dcterms:modified>
</cp:coreProperties>
</file>