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color w:val="1D1D1B"/>
          <w:sz w:val="27"/>
          <w:szCs w:val="27"/>
          <w:bdr w:val="none" w:sz="0" w:space="0" w:color="auto" w:frame="1"/>
          <w:lang w:eastAsia="uk-UA"/>
        </w:rPr>
        <w:t>Перелік 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 </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i/>
          <w:iCs/>
          <w:color w:val="1D1D1B"/>
          <w:sz w:val="27"/>
          <w:szCs w:val="27"/>
          <w:bdr w:val="none" w:sz="0" w:space="0" w:color="auto" w:frame="1"/>
          <w:lang w:eastAsia="uk-UA"/>
        </w:rPr>
        <w:t>Перелік корупційних правопорушень, за вчинення яких передбачено кримінальну відповідальність </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191 (привласнення, розтрата майна або заволодіння ним шляхом зловживання службовим становищем);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312 (викрадення, привласнення, вимагання прекурсорів або заволодіння ними шляхом шахрайства або зловживання службовим становищем);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320 (порушення встановлених правил обігу наркотичних засобів, психотропних речовин, їх аналогів або прекурсорів);</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 xml:space="preserve">статтею 410 (викрадення, привласнення, вимагання військовослужбовцем зброї, бойових припасів, вибухових або інших бойових речовин, засобів пересування, </w:t>
      </w:r>
      <w:r w:rsidRPr="007F69F4">
        <w:rPr>
          <w:rFonts w:ascii="ProbaProRegular" w:eastAsia="Times New Roman" w:hAnsi="ProbaProRegular" w:cs="Times New Roman"/>
          <w:color w:val="1D1D1B"/>
          <w:sz w:val="27"/>
          <w:szCs w:val="27"/>
          <w:lang w:eastAsia="uk-UA"/>
        </w:rPr>
        <w:lastRenderedPageBreak/>
        <w:t>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210 (нецільове використання бюджетних коштів, здійсненню видатків бюджету чи надання кредитів з бюджету без встановлених бюджетних призначень або з їх перевищенням);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354 (підкуп працівника підприємства, установи чи організації);</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364 (зловживання владою або службовим становищем);</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364</w:t>
      </w:r>
      <w:r w:rsidRPr="007F69F4">
        <w:rPr>
          <w:rFonts w:ascii="ProbaProRegular" w:eastAsia="Times New Roman" w:hAnsi="ProbaProRegular" w:cs="Times New Roman"/>
          <w:color w:val="1D1D1B"/>
          <w:sz w:val="27"/>
          <w:szCs w:val="27"/>
          <w:bdr w:val="none" w:sz="0" w:space="0" w:color="auto" w:frame="1"/>
          <w:vertAlign w:val="superscript"/>
          <w:lang w:eastAsia="uk-UA"/>
        </w:rPr>
        <w:t>1</w:t>
      </w:r>
      <w:r w:rsidRPr="007F69F4">
        <w:rPr>
          <w:rFonts w:ascii="ProbaProRegular" w:eastAsia="Times New Roman" w:hAnsi="ProbaProRegular" w:cs="Times New Roman"/>
          <w:color w:val="1D1D1B"/>
          <w:sz w:val="27"/>
          <w:szCs w:val="27"/>
          <w:lang w:eastAsia="uk-UA"/>
        </w:rPr>
        <w:t> (зловживання повноваженнями службовою особою юридичної особи приватного права незалежно від організаційно-правової форми);</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365</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(зловживання повноваженнями особами, які надають публічні послуги);</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368 (прийняття пропозиції, обіцянки або одержання неправомірно вигоди службовою особою);</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368</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(незаконне збагачення);</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368</w:t>
      </w:r>
      <w:r w:rsidRPr="007F69F4">
        <w:rPr>
          <w:rFonts w:ascii="ProbaProRegular" w:eastAsia="Times New Roman" w:hAnsi="ProbaProRegular" w:cs="Times New Roman"/>
          <w:color w:val="1D1D1B"/>
          <w:sz w:val="27"/>
          <w:szCs w:val="27"/>
          <w:bdr w:val="none" w:sz="0" w:space="0" w:color="auto" w:frame="1"/>
          <w:vertAlign w:val="superscript"/>
          <w:lang w:eastAsia="uk-UA"/>
        </w:rPr>
        <w:t>3</w:t>
      </w:r>
      <w:r w:rsidRPr="007F69F4">
        <w:rPr>
          <w:rFonts w:ascii="ProbaProRegular" w:eastAsia="Times New Roman" w:hAnsi="ProbaProRegular" w:cs="Times New Roman"/>
          <w:color w:val="1D1D1B"/>
          <w:sz w:val="27"/>
          <w:szCs w:val="27"/>
          <w:lang w:eastAsia="uk-UA"/>
        </w:rPr>
        <w:t> (підкуп службової особи юридичної особи приватного праві незалежно від організаційно-правової форми);</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368</w:t>
      </w:r>
      <w:r w:rsidRPr="007F69F4">
        <w:rPr>
          <w:rFonts w:ascii="ProbaProRegular" w:eastAsia="Times New Roman" w:hAnsi="ProbaProRegular" w:cs="Times New Roman"/>
          <w:color w:val="1D1D1B"/>
          <w:sz w:val="27"/>
          <w:szCs w:val="27"/>
          <w:bdr w:val="none" w:sz="0" w:space="0" w:color="auto" w:frame="1"/>
          <w:vertAlign w:val="superscript"/>
          <w:lang w:eastAsia="uk-UA"/>
        </w:rPr>
        <w:t>4</w:t>
      </w:r>
      <w:r w:rsidRPr="007F69F4">
        <w:rPr>
          <w:rFonts w:ascii="ProbaProRegular" w:eastAsia="Times New Roman" w:hAnsi="ProbaProRegular" w:cs="Times New Roman"/>
          <w:color w:val="1D1D1B"/>
          <w:sz w:val="27"/>
          <w:szCs w:val="27"/>
          <w:lang w:eastAsia="uk-UA"/>
        </w:rPr>
        <w:t> (підкуп особи, яка надає публічні послуги);</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369 (пропозиція, обіцянка або надання неправомірної вигоді службовій особі);</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статтею 369</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(зловживання впливом).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Згідно з статтею 216 Кримінального процесуального кодексу Україні встановлена така підслідність щодо досудового розслідування корупційних кримінальних правопорушень:</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Національна поліція України – щодо злочинів, передбачених статтями 262, 308, 312, 313, 320, 357, 364</w:t>
      </w:r>
      <w:r w:rsidRPr="007F69F4">
        <w:rPr>
          <w:rFonts w:ascii="ProbaProRegular" w:eastAsia="Times New Roman" w:hAnsi="ProbaProRegular" w:cs="Times New Roman"/>
          <w:color w:val="1D1D1B"/>
          <w:sz w:val="27"/>
          <w:szCs w:val="27"/>
          <w:bdr w:val="none" w:sz="0" w:space="0" w:color="auto" w:frame="1"/>
          <w:vertAlign w:val="superscript"/>
          <w:lang w:eastAsia="uk-UA"/>
        </w:rPr>
        <w:t>1</w:t>
      </w:r>
      <w:r w:rsidRPr="007F69F4">
        <w:rPr>
          <w:rFonts w:ascii="ProbaProRegular" w:eastAsia="Times New Roman" w:hAnsi="ProbaProRegular" w:cs="Times New Roman"/>
          <w:color w:val="1D1D1B"/>
          <w:sz w:val="27"/>
          <w:szCs w:val="27"/>
          <w:lang w:eastAsia="uk-UA"/>
        </w:rPr>
        <w:t>, 365</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368</w:t>
      </w:r>
      <w:r w:rsidRPr="007F69F4">
        <w:rPr>
          <w:rFonts w:ascii="ProbaProRegular" w:eastAsia="Times New Roman" w:hAnsi="ProbaProRegular" w:cs="Times New Roman"/>
          <w:color w:val="1D1D1B"/>
          <w:sz w:val="27"/>
          <w:szCs w:val="27"/>
          <w:bdr w:val="none" w:sz="0" w:space="0" w:color="auto" w:frame="1"/>
          <w:vertAlign w:val="superscript"/>
          <w:lang w:eastAsia="uk-UA"/>
        </w:rPr>
        <w:t>3</w:t>
      </w:r>
      <w:r w:rsidRPr="007F69F4">
        <w:rPr>
          <w:rFonts w:ascii="ProbaProRegular" w:eastAsia="Times New Roman" w:hAnsi="ProbaProRegular" w:cs="Times New Roman"/>
          <w:color w:val="1D1D1B"/>
          <w:sz w:val="27"/>
          <w:szCs w:val="27"/>
          <w:lang w:eastAsia="uk-UA"/>
        </w:rPr>
        <w:t>, 368</w:t>
      </w:r>
      <w:r w:rsidRPr="007F69F4">
        <w:rPr>
          <w:rFonts w:ascii="ProbaProRegular" w:eastAsia="Times New Roman" w:hAnsi="ProbaProRegular" w:cs="Times New Roman"/>
          <w:color w:val="1D1D1B"/>
          <w:sz w:val="27"/>
          <w:szCs w:val="27"/>
          <w:bdr w:val="none" w:sz="0" w:space="0" w:color="auto" w:frame="1"/>
          <w:vertAlign w:val="superscript"/>
          <w:lang w:eastAsia="uk-UA"/>
        </w:rPr>
        <w:t>4</w:t>
      </w:r>
      <w:r w:rsidRPr="007F69F4">
        <w:rPr>
          <w:rFonts w:ascii="ProbaProRegular" w:eastAsia="Times New Roman" w:hAnsi="ProbaProRegular" w:cs="Times New Roman"/>
          <w:color w:val="1D1D1B"/>
          <w:sz w:val="27"/>
          <w:szCs w:val="27"/>
          <w:lang w:eastAsia="uk-UA"/>
        </w:rPr>
        <w:t> Кримінального кодексу України.</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lastRenderedPageBreak/>
        <w:t>Національне антикорупційне бюро України – щодо злочинів передбачених статтями 191, 210, 354 (стосовно працівників юридичних осіб публічного права), 364, 368, 368</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369, 369</w:t>
      </w:r>
      <w:r w:rsidRPr="007F69F4">
        <w:rPr>
          <w:rFonts w:ascii="ProbaProRegular" w:eastAsia="Times New Roman" w:hAnsi="ProbaProRegular" w:cs="Times New Roman"/>
          <w:color w:val="1D1D1B"/>
          <w:sz w:val="27"/>
          <w:szCs w:val="27"/>
          <w:bdr w:val="none" w:sz="0" w:space="0" w:color="auto" w:frame="1"/>
          <w:vertAlign w:val="superscript"/>
          <w:lang w:eastAsia="uk-UA"/>
        </w:rPr>
        <w:t>2</w:t>
      </w:r>
      <w:r w:rsidRPr="007F69F4">
        <w:rPr>
          <w:rFonts w:ascii="ProbaProRegular" w:eastAsia="Times New Roman" w:hAnsi="ProbaProRegular" w:cs="Times New Roman"/>
          <w:color w:val="1D1D1B"/>
          <w:sz w:val="27"/>
          <w:szCs w:val="27"/>
          <w:lang w:eastAsia="uk-UA"/>
        </w:rPr>
        <w:t>, 410 Кримінального кодексу України з урахуванням умов, визначених частиною 5 статті 216 КПК України.</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i/>
          <w:iCs/>
          <w:color w:val="1D1D1B"/>
          <w:sz w:val="27"/>
          <w:szCs w:val="27"/>
          <w:bdr w:val="none" w:sz="0" w:space="0" w:color="auto" w:frame="1"/>
          <w:lang w:eastAsia="uk-UA"/>
        </w:rPr>
        <w:t>Перелік правопорушень, пов’язаних з корупцією за вчинення яких передбачено адміністративну відповідальність </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Відповідно до глави 13-А «Адміністративні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порушення обмежень щодо сумісництва та суміщення з іншими видами діяльності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4</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порушення встановлених законом обмежень щодо одержання подарунків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5</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порушення вимог фінансового контролю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6</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порушення вимог щодо запобігання та врегулювання конфлікту інтересів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7</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незаконне використання інформації, що стала відома особі у зв’язку з виконанням службових повноважень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8</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невжиття заходів щодо протидії корупції (стаття 172</w:t>
      </w:r>
      <w:r w:rsidRPr="007F69F4">
        <w:rPr>
          <w:rFonts w:ascii="ProbaProRegular" w:eastAsia="Times New Roman" w:hAnsi="ProbaProRegular" w:cs="Times New Roman"/>
          <w:color w:val="1D1D1B"/>
          <w:sz w:val="27"/>
          <w:szCs w:val="27"/>
          <w:bdr w:val="none" w:sz="0" w:space="0" w:color="auto" w:frame="1"/>
          <w:vertAlign w:val="superscript"/>
          <w:lang w:eastAsia="uk-UA"/>
        </w:rPr>
        <w:t>9</w:t>
      </w:r>
      <w:r w:rsidRPr="007F69F4">
        <w:rPr>
          <w:rFonts w:ascii="ProbaProRegular" w:eastAsia="Times New Roman" w:hAnsi="ProbaProRegular" w:cs="Times New Roman"/>
          <w:color w:val="1D1D1B"/>
          <w:sz w:val="27"/>
          <w:szCs w:val="27"/>
          <w:lang w:eastAsia="uk-UA"/>
        </w:rPr>
        <w:t>).</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w:t>
      </w:r>
      <w:r w:rsidRPr="007F69F4">
        <w:rPr>
          <w:rFonts w:ascii="ProbaProRegular" w:eastAsia="Times New Roman" w:hAnsi="ProbaProRegular" w:cs="Times New Roman"/>
          <w:color w:val="1D1D1B"/>
          <w:sz w:val="27"/>
          <w:szCs w:val="27"/>
          <w:bdr w:val="none" w:sz="0" w:space="0" w:color="auto" w:frame="1"/>
          <w:vertAlign w:val="superscript"/>
          <w:lang w:eastAsia="uk-UA"/>
        </w:rPr>
        <w:t>4</w:t>
      </w:r>
      <w:r w:rsidRPr="007F69F4">
        <w:rPr>
          <w:rFonts w:ascii="ProbaProRegular" w:eastAsia="Times New Roman" w:hAnsi="ProbaProRegular" w:cs="Times New Roman"/>
          <w:color w:val="1D1D1B"/>
          <w:sz w:val="27"/>
          <w:szCs w:val="27"/>
          <w:lang w:eastAsia="uk-UA"/>
        </w:rPr>
        <w:t> – 172</w:t>
      </w:r>
      <w:r w:rsidRPr="007F69F4">
        <w:rPr>
          <w:rFonts w:ascii="ProbaProRegular" w:eastAsia="Times New Roman" w:hAnsi="ProbaProRegular" w:cs="Times New Roman"/>
          <w:color w:val="1D1D1B"/>
          <w:sz w:val="27"/>
          <w:szCs w:val="27"/>
          <w:bdr w:val="none" w:sz="0" w:space="0" w:color="auto" w:frame="1"/>
          <w:vertAlign w:val="superscript"/>
          <w:lang w:eastAsia="uk-UA"/>
        </w:rPr>
        <w:t>9</w:t>
      </w:r>
      <w:r w:rsidRPr="007F69F4">
        <w:rPr>
          <w:rFonts w:ascii="ProbaProRegular" w:eastAsia="Times New Roman" w:hAnsi="ProbaProRegular" w:cs="Times New Roman"/>
          <w:color w:val="1D1D1B"/>
          <w:sz w:val="27"/>
          <w:szCs w:val="27"/>
          <w:lang w:eastAsia="uk-UA"/>
        </w:rPr>
        <w:t>, мають право складати уповноважені на те посадові особи Національної поліції України та Національного агентства з питань запобігання корупції.</w:t>
      </w:r>
      <w:r w:rsidRPr="007F69F4">
        <w:rPr>
          <w:rFonts w:ascii="ProbaProRegular" w:eastAsia="Times New Roman" w:hAnsi="ProbaProRegular" w:cs="Times New Roman"/>
          <w:b/>
          <w:bCs/>
          <w:i/>
          <w:iCs/>
          <w:color w:val="1D1D1B"/>
          <w:sz w:val="27"/>
          <w:szCs w:val="27"/>
          <w:bdr w:val="none" w:sz="0" w:space="0" w:color="auto" w:frame="1"/>
          <w:lang w:eastAsia="uk-UA"/>
        </w:rPr>
        <w:t> </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i/>
          <w:iCs/>
          <w:color w:val="1D1D1B"/>
          <w:sz w:val="27"/>
          <w:szCs w:val="27"/>
          <w:bdr w:val="none" w:sz="0" w:space="0" w:color="auto" w:frame="1"/>
          <w:lang w:eastAsia="uk-UA"/>
        </w:rPr>
        <w:t>Перелік правопорушень, пов’язаних з корупцією, за вчинення яких може бути притягнуто до дисциплінарної відповідальності</w:t>
      </w:r>
      <w:r w:rsidRPr="007F69F4">
        <w:rPr>
          <w:rFonts w:ascii="ProbaProRegular" w:eastAsia="Times New Roman" w:hAnsi="ProbaProRegular" w:cs="Times New Roman"/>
          <w:b/>
          <w:bCs/>
          <w:i/>
          <w:iCs/>
          <w:color w:val="1D1D1B"/>
          <w:sz w:val="27"/>
          <w:szCs w:val="27"/>
          <w:bdr w:val="none" w:sz="0" w:space="0" w:color="auto" w:frame="1"/>
          <w:lang w:eastAsia="uk-UA"/>
        </w:rPr>
        <w:br/>
        <w:t>(не є виключним)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Неприйняття антикорупційної програми, неподання на погодження антикорупційної програми Національному агентству (стаття 19).</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Обмеження щодо використання службових повноважень чи свого становища (стаття 22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Обмеження щодо одержання подарунка (стаття 23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lastRenderedPageBreak/>
        <w:t>Обмеження щодо сумісництва та суміщення з іншими видами діяльності (стаття 25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Обмеження після припинення діяльності, пов’язаної з виконанням функцій держави, місцевого самоврядування (стаття 26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Обмеження спільної роботи близьких осіб (стаття 27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Запобігання та врегулювання конфлікту інтересів (стаття 28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Порушення правил етичної поведінки (статті 38–44).</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Недотримання вимог статті 53:</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розголошення інформації про викривача;</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відсутність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невиконання вимог розгляду анонімного повідомлення;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Недотримання вимог щодо організації проведення спеціальної перевірки (статті 56–58).</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proofErr w:type="spellStart"/>
      <w:r w:rsidRPr="007F69F4">
        <w:rPr>
          <w:rFonts w:ascii="ProbaProRegular" w:eastAsia="Times New Roman" w:hAnsi="ProbaProRegular" w:cs="Times New Roman"/>
          <w:color w:val="1D1D1B"/>
          <w:sz w:val="27"/>
          <w:szCs w:val="27"/>
          <w:lang w:eastAsia="uk-UA"/>
        </w:rPr>
        <w:t>Непроведення</w:t>
      </w:r>
      <w:proofErr w:type="spellEnd"/>
      <w:r w:rsidRPr="007F69F4">
        <w:rPr>
          <w:rFonts w:ascii="ProbaProRegular" w:eastAsia="Times New Roman" w:hAnsi="ProbaProRegular" w:cs="Times New Roman"/>
          <w:color w:val="1D1D1B"/>
          <w:sz w:val="27"/>
          <w:szCs w:val="27"/>
          <w:lang w:eastAsia="uk-UA"/>
        </w:rPr>
        <w:t xml:space="preserve"> службового розслідування стосовно особи, яка вчинила корупційне або пов’язане з корупцією правопорушення (стаття 65).</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Недотримання вимог щодо незаконних актів та правочинів (стаття 67).</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color w:val="1D1D1B"/>
          <w:sz w:val="27"/>
          <w:szCs w:val="27"/>
          <w:bdr w:val="none" w:sz="0" w:space="0" w:color="auto" w:frame="1"/>
          <w:lang w:eastAsia="uk-UA"/>
        </w:rPr>
        <w:t>Стаття 64. Дисциплінарна відповідальність державного службовця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 xml:space="preserve">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w:t>
      </w:r>
      <w:r w:rsidRPr="007F69F4">
        <w:rPr>
          <w:rFonts w:ascii="ProbaProRegular" w:eastAsia="Times New Roman" w:hAnsi="ProbaProRegular" w:cs="Times New Roman"/>
          <w:color w:val="1D1D1B"/>
          <w:sz w:val="27"/>
          <w:szCs w:val="27"/>
          <w:lang w:eastAsia="uk-UA"/>
        </w:rPr>
        <w:lastRenderedPageBreak/>
        <w:t>порушення службової дисципліни державний службовець притягається до дисциплінарної відповідальності у порядку, встановленому цим Законом.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color w:val="1D1D1B"/>
          <w:sz w:val="27"/>
          <w:szCs w:val="27"/>
          <w:bdr w:val="none" w:sz="0" w:space="0" w:color="auto" w:frame="1"/>
          <w:lang w:eastAsia="uk-UA"/>
        </w:rPr>
        <w:t>Стаття 65. Підстави для притягнення державного службовця до дисциплінарної відповідальності</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Дисциплінарними проступками є:</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 порушення Присяги державного службовця;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порушення правил етичної поведінки державних службовців;</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3) вияв неповаги до держави, державних символів України, Українського народу;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4) дії, що шкодять авторитету державної служби;</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6) недотримання правил внутрішнього службового розпорядку;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7) перевищення службових повноважень, якщо воно не містить складу злочину або адміністративного правопорушення;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8) невиконання вимог щодо політичної неупередженості державного службовця;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9) використання повноважень в особистих (приватних) інтересах або в неправомірних особистих інтересах інших осіб;</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lastRenderedPageBreak/>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12) прогул державного службовця (у тому числі відсутність на службі більше трьох годин протягом робочого дня) без поважних причин;</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13) поява державного службовця на службі в нетверезому стані, у стані наркотичного або токсичного сп’яніння;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{Частину другу статті 65 доповнено пунктом 15 згідно із Законом № 2147-VIII від 03.10.2017}</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{Частина третя статті 65 із змінами, внесеними згідно із Законом № 2147-VIII від 03.10.2017}</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color w:val="1D1D1B"/>
          <w:sz w:val="27"/>
          <w:szCs w:val="27"/>
          <w:bdr w:val="none" w:sz="0" w:space="0" w:color="auto" w:frame="1"/>
          <w:lang w:eastAsia="uk-UA"/>
        </w:rPr>
        <w:t>Стаття 66. Види дисциплінарних стягнень та загальні умови їх застосування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lastRenderedPageBreak/>
        <w:t>1. До державних службовців застосовується один із таких видів дисциплінарного стягнення: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 зауваження;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догана;</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3) попередження про неповну службову відповідність;</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4) звільнення з посади державної служби.</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3. У разі допущення державним службовцем дисциплінарних проступків, передбачених пунктами 4, 5, 12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{Частина третя статті 66 із змінами, внесеними згідно із Законом № 2147-VIII від 03.10.2017}</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передбачених пунктами 4 та 5 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9-11, 13, 14 частини другої статті 65 цього Закону, а також вчинення систематично (повторно протягом року) дисциплінарного проступку, передбаченого пунктом 12 частини другої статті 65 цього Закону.</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lastRenderedPageBreak/>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7. За кожний дисциплінарний проступок до державного службовця може бути застосовано лише одне дисциплінарне стягнення.</w:t>
      </w:r>
    </w:p>
    <w:p w:rsidR="007F69F4" w:rsidRPr="007F69F4" w:rsidRDefault="007F69F4" w:rsidP="007F69F4">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b/>
          <w:bCs/>
          <w:color w:val="1D1D1B"/>
          <w:sz w:val="27"/>
          <w:szCs w:val="27"/>
          <w:bdr w:val="none" w:sz="0" w:space="0" w:color="auto" w:frame="1"/>
          <w:lang w:eastAsia="uk-UA"/>
        </w:rPr>
        <w:t>Суб’єкти, уповноважені ініціювати дисциплінарні провадження та застосовувати дисциплінарні стягнення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 xml:space="preserve">1. Дисциплінарні провадження </w:t>
      </w:r>
      <w:proofErr w:type="spellStart"/>
      <w:r w:rsidRPr="007F69F4">
        <w:rPr>
          <w:rFonts w:ascii="ProbaProRegular" w:eastAsia="Times New Roman" w:hAnsi="ProbaProRegular" w:cs="Times New Roman"/>
          <w:color w:val="1D1D1B"/>
          <w:sz w:val="27"/>
          <w:szCs w:val="27"/>
          <w:lang w:eastAsia="uk-UA"/>
        </w:rPr>
        <w:t>ініціюються</w:t>
      </w:r>
      <w:proofErr w:type="spellEnd"/>
      <w:r w:rsidRPr="007F69F4">
        <w:rPr>
          <w:rFonts w:ascii="ProbaProRegular" w:eastAsia="Times New Roman" w:hAnsi="ProbaProRegular" w:cs="Times New Roman"/>
          <w:color w:val="1D1D1B"/>
          <w:sz w:val="27"/>
          <w:szCs w:val="27"/>
          <w:lang w:eastAsia="uk-UA"/>
        </w:rPr>
        <w:t xml:space="preserve"> суб’єктом призначення.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Дисциплінарні стягнення накладаються (застосовуються):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1) на державних службовців, які займають посади державної служби категорії "А":</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зауваження - суб’єктом призначення;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інші види дисциплінарних стягнень - суб’єктом призначення з урахуванням пропозиції Комісії;</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2) на державних службовців, які займають посади державної служби категорій "Б" і "В":</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зауваження - суб’єктом призначення;</w:t>
      </w:r>
    </w:p>
    <w:p w:rsidR="007F69F4" w:rsidRPr="007F69F4" w:rsidRDefault="007F69F4" w:rsidP="007F69F4">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F69F4">
        <w:rPr>
          <w:rFonts w:ascii="ProbaProRegular" w:eastAsia="Times New Roman" w:hAnsi="ProbaProRegular" w:cs="Times New Roman"/>
          <w:color w:val="1D1D1B"/>
          <w:sz w:val="27"/>
          <w:szCs w:val="27"/>
          <w:lang w:eastAsia="uk-UA"/>
        </w:rPr>
        <w:t>інші види дисциплінарних стягнень - суб’єктом призначення за поданням дисциплінарної комісії.</w:t>
      </w:r>
    </w:p>
    <w:p w:rsidR="00AC10F8" w:rsidRPr="007F69F4" w:rsidRDefault="00AC10F8" w:rsidP="007F69F4">
      <w:bookmarkStart w:id="0" w:name="_GoBack"/>
      <w:bookmarkEnd w:id="0"/>
    </w:p>
    <w:sectPr w:rsidR="00AC10F8" w:rsidRPr="007F69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7D118A"/>
    <w:rsid w:val="007F69F4"/>
    <w:rsid w:val="00855852"/>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334766866">
      <w:bodyDiv w:val="1"/>
      <w:marLeft w:val="0"/>
      <w:marRight w:val="0"/>
      <w:marTop w:val="0"/>
      <w:marBottom w:val="0"/>
      <w:divBdr>
        <w:top w:val="none" w:sz="0" w:space="0" w:color="auto"/>
        <w:left w:val="none" w:sz="0" w:space="0" w:color="auto"/>
        <w:bottom w:val="none" w:sz="0" w:space="0" w:color="auto"/>
        <w:right w:val="none" w:sz="0" w:space="0" w:color="auto"/>
      </w:divBdr>
    </w:div>
    <w:div w:id="1617101371">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8054</Words>
  <Characters>4591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2020-04-23T14:45:00Z</dcterms:created>
  <dcterms:modified xsi:type="dcterms:W3CDTF">2020-04-23T14:45:00Z</dcterms:modified>
</cp:coreProperties>
</file>