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251" w:rsidRDefault="00291251" w:rsidP="00B1269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6BD2">
        <w:rPr>
          <w:rFonts w:ascii="Times New Roman" w:hAnsi="Times New Roman" w:cs="Times New Roman"/>
          <w:b/>
          <w:sz w:val="28"/>
          <w:szCs w:val="28"/>
          <w:lang w:val="uk-UA"/>
        </w:rPr>
        <w:t>Перелік типів об’єктів, що підлягають моніторингу та оцін</w:t>
      </w:r>
      <w:r w:rsidR="00B1269C">
        <w:rPr>
          <w:rFonts w:ascii="Times New Roman" w:hAnsi="Times New Roman" w:cs="Times New Roman"/>
          <w:b/>
          <w:sz w:val="28"/>
          <w:szCs w:val="28"/>
          <w:lang w:val="uk-UA"/>
        </w:rPr>
        <w:t>ці</w:t>
      </w:r>
      <w:r w:rsidRPr="00C06B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ступеня безбар’єрності  у 2026 році</w:t>
      </w:r>
    </w:p>
    <w:p w:rsidR="00B1269C" w:rsidRPr="00C06BD2" w:rsidRDefault="00B1269C" w:rsidP="00B1269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>І. Громадські будівлі: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 xml:space="preserve">заклади охорони здоров’я (у т.ч. «реабілітаційні відділення»); 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 xml:space="preserve">заклади освіти (заклади дошкільної освіти, зокрема спеціальні; заклади середньої освіти; заклади професійної та професійно-технічної освіти; заклади вищої освіти); 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 xml:space="preserve">центри надання адміністративних послуг (ЦНАП); 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 xml:space="preserve">центри зайнятості; 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 xml:space="preserve">ветеранські простори; 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 xml:space="preserve">будівлі надавачів соціальних послуг та соціального захисту; 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>заклади культури (кінотеатри, театри, бібліотеки, музеї, будинки культури);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>об’єкти спортивної інфраструктури (стадіони, спорткомплекси тощо);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>молодіжні простори та центри;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>центри життєстійкості;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>центри ментального здоров’я;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>територіальні центри комплектування та соціальної підтримки (без виведення на Мапу безбар’єрності);</w:t>
      </w:r>
    </w:p>
    <w:p w:rsidR="001C1DBE" w:rsidRPr="001F63EB" w:rsidRDefault="001C1DBE" w:rsidP="001C1DB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1F63EB">
        <w:rPr>
          <w:sz w:val="28"/>
          <w:szCs w:val="28"/>
          <w:lang w:val="uk-UA"/>
        </w:rPr>
        <w:t>приміщення для проведення в</w:t>
      </w:r>
      <w:r w:rsidRPr="001F63EB">
        <w:rPr>
          <w:sz w:val="28"/>
          <w:szCs w:val="28"/>
        </w:rPr>
        <w:t>ійськово-лікарськ</w:t>
      </w:r>
      <w:r w:rsidRPr="001F63EB">
        <w:rPr>
          <w:sz w:val="28"/>
          <w:szCs w:val="28"/>
          <w:lang w:val="uk-UA"/>
        </w:rPr>
        <w:t>ої</w:t>
      </w:r>
      <w:r w:rsidRPr="001F63EB">
        <w:rPr>
          <w:sz w:val="28"/>
          <w:szCs w:val="28"/>
        </w:rPr>
        <w:t xml:space="preserve"> комісі</w:t>
      </w:r>
      <w:r w:rsidRPr="001F63EB">
        <w:rPr>
          <w:sz w:val="28"/>
          <w:szCs w:val="28"/>
          <w:lang w:val="uk-UA"/>
        </w:rPr>
        <w:t>ї (без виведення на Мапу безбар’єрності).</w:t>
      </w:r>
    </w:p>
    <w:p w:rsidR="001C1DBE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Житлові будівлі: </w:t>
      </w:r>
    </w:p>
    <w:p w:rsidR="001C1DBE" w:rsidRPr="00CB5F20" w:rsidRDefault="001C1DBE" w:rsidP="001C1DBE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багатоквартирні житлові будинки;</w:t>
      </w:r>
    </w:p>
    <w:p w:rsidR="001C1DBE" w:rsidRPr="00CB5F20" w:rsidRDefault="001C1DBE" w:rsidP="001C1DBE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будівлі для тимчасового проживання ВПО та евакуйованих осіб (модульні містечка, гуртожитки тощо);</w:t>
      </w:r>
    </w:p>
    <w:p w:rsidR="001C1DBE" w:rsidRPr="00CB5F20" w:rsidRDefault="001C1DBE" w:rsidP="001C1DBE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готелі.</w:t>
      </w:r>
    </w:p>
    <w:p w:rsidR="001C1DBE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>ІІІ. Будівлі і споруди сфери послуг: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банки; 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поштові відділення; 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супермаркети та магазини; 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кафе, ресторани; 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АЗС; 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аптеки; 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заклади догляду та краси; </w:t>
      </w:r>
    </w:p>
    <w:p w:rsidR="001C1DBE" w:rsidRPr="00CB5F20" w:rsidRDefault="001C1DBE" w:rsidP="001C1DBE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торгово-розважальні центри (ТРЦ).</w:t>
      </w:r>
    </w:p>
    <w:p w:rsidR="001C1DBE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>IV. Об’єкти транспортної інфраструктури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автовокзали;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автостанції; 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lastRenderedPageBreak/>
        <w:t>залізничні вокзали;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залізничні станції.</w:t>
      </w:r>
    </w:p>
    <w:p w:rsidR="001C1DBE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>V. Вулиці та дороги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вулиці, що входять до проєктів «безбар’єрні маршрути» у населених пунктах; 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вулиці, що ведуть до закладів охорони здоров’я; 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вулиці, що ведуть до закладів освіти; </w:t>
      </w:r>
    </w:p>
    <w:p w:rsidR="001C1DBE" w:rsidRPr="00CB5F20" w:rsidRDefault="001C1DBE" w:rsidP="001C1DBE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дороги державного значення, що проходять через населені пункти.</w:t>
      </w:r>
    </w:p>
    <w:p w:rsidR="001C1DBE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>VІ. Зупинки громадського транспорту</w:t>
      </w:r>
      <w:r>
        <w:rPr>
          <w:b/>
          <w:sz w:val="28"/>
          <w:szCs w:val="28"/>
          <w:lang w:val="uk-UA"/>
        </w:rPr>
        <w:t>:</w:t>
      </w:r>
    </w:p>
    <w:p w:rsidR="001C1DBE" w:rsidRPr="00CB5F20" w:rsidRDefault="001C1DBE" w:rsidP="001C1DB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зупинки  (автобус, тролейбус, маршрутне таксі); </w:t>
      </w:r>
    </w:p>
    <w:p w:rsidR="001C1DBE" w:rsidRPr="00CB5F20" w:rsidRDefault="001C1DBE" w:rsidP="001C1DB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зупинки трамваю.</w:t>
      </w: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BE" w:rsidRPr="00120F58" w:rsidRDefault="001C1DBE" w:rsidP="001C1D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>VІ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120F58">
        <w:rPr>
          <w:rFonts w:ascii="Times New Roman" w:hAnsi="Times New Roman" w:cs="Times New Roman"/>
          <w:b/>
          <w:sz w:val="28"/>
          <w:szCs w:val="28"/>
          <w:lang w:val="uk-UA"/>
        </w:rPr>
        <w:t>. Об’єкти благоустрою:</w:t>
      </w:r>
    </w:p>
    <w:p w:rsidR="001C1DBE" w:rsidRPr="00CB5F20" w:rsidRDefault="001C1DBE" w:rsidP="001C1DB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площі; </w:t>
      </w:r>
    </w:p>
    <w:p w:rsidR="001C1DBE" w:rsidRPr="00CB5F20" w:rsidRDefault="001C1DBE" w:rsidP="001C1DB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 xml:space="preserve">парки та сквери; </w:t>
      </w:r>
    </w:p>
    <w:p w:rsidR="001C1DBE" w:rsidRPr="00CB5F20" w:rsidRDefault="001C1DBE" w:rsidP="001C1DB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ботанічні сади;</w:t>
      </w:r>
    </w:p>
    <w:p w:rsidR="001C1DBE" w:rsidRPr="00CB5F20" w:rsidRDefault="001C1DBE" w:rsidP="001C1DB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зоопарки;</w:t>
      </w:r>
    </w:p>
    <w:p w:rsidR="001C1DBE" w:rsidRPr="00CB5F20" w:rsidRDefault="001C1DBE" w:rsidP="001C1DB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 w:rsidRPr="00CB5F20">
        <w:rPr>
          <w:sz w:val="28"/>
          <w:szCs w:val="28"/>
          <w:lang w:val="uk-UA"/>
        </w:rPr>
        <w:t>дитячі майданчики (у т.ч. інклюзивні).</w:t>
      </w:r>
    </w:p>
    <w:p w:rsidR="007B0BB4" w:rsidRDefault="007B0BB4" w:rsidP="00120F5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7B0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2060"/>
    <w:multiLevelType w:val="hybridMultilevel"/>
    <w:tmpl w:val="700016CA"/>
    <w:lvl w:ilvl="0" w:tplc="DAF0DDB8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F9A5866"/>
    <w:multiLevelType w:val="hybridMultilevel"/>
    <w:tmpl w:val="0D444F16"/>
    <w:lvl w:ilvl="0" w:tplc="DAF0DDB8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40F6802"/>
    <w:multiLevelType w:val="hybridMultilevel"/>
    <w:tmpl w:val="DFD0EA5C"/>
    <w:lvl w:ilvl="0" w:tplc="DAF0DDB8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611B59"/>
    <w:multiLevelType w:val="hybridMultilevel"/>
    <w:tmpl w:val="A55C415A"/>
    <w:lvl w:ilvl="0" w:tplc="DAF0DDB8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D201C6A"/>
    <w:multiLevelType w:val="hybridMultilevel"/>
    <w:tmpl w:val="05108A58"/>
    <w:lvl w:ilvl="0" w:tplc="DAF0DDB8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51"/>
    <w:rsid w:val="00120F58"/>
    <w:rsid w:val="001C1DBE"/>
    <w:rsid w:val="00242EE6"/>
    <w:rsid w:val="00263289"/>
    <w:rsid w:val="00291251"/>
    <w:rsid w:val="004406D0"/>
    <w:rsid w:val="004F1217"/>
    <w:rsid w:val="00545F9E"/>
    <w:rsid w:val="007B0BB4"/>
    <w:rsid w:val="00820A92"/>
    <w:rsid w:val="008E189E"/>
    <w:rsid w:val="00B1269C"/>
    <w:rsid w:val="00C06BD2"/>
    <w:rsid w:val="00F94B7A"/>
    <w:rsid w:val="00FD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BE24"/>
  <w15:chartTrackingRefBased/>
  <w15:docId w15:val="{81203705-3E9C-4C83-9667-DEA3BD64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DBE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Myroslava</dc:creator>
  <cp:keywords/>
  <dc:description/>
  <cp:lastModifiedBy>нр</cp:lastModifiedBy>
  <cp:revision>4</cp:revision>
  <dcterms:created xsi:type="dcterms:W3CDTF">2026-05-22T08:20:00Z</dcterms:created>
  <dcterms:modified xsi:type="dcterms:W3CDTF">2026-10-30T08:38:00Z</dcterms:modified>
</cp:coreProperties>
</file>