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89" w:rsidRPr="00370D89" w:rsidRDefault="00370D89" w:rsidP="00370D89">
      <w:pPr>
        <w:spacing w:after="0" w:line="240" w:lineRule="auto"/>
        <w:ind w:left="7080" w:firstLine="4544"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</w:pPr>
      <w:r w:rsidRPr="00370D89"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  <w:t xml:space="preserve">Додаток до листа </w:t>
      </w:r>
    </w:p>
    <w:p w:rsidR="00370D89" w:rsidRPr="00370D89" w:rsidRDefault="00370D89" w:rsidP="00370D89">
      <w:pPr>
        <w:spacing w:after="0" w:line="240" w:lineRule="auto"/>
        <w:ind w:left="7080" w:firstLine="4544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val="uk-UA"/>
        </w:rPr>
      </w:pPr>
      <w:r w:rsidRPr="00370D89"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  <w:t>від ______№</w:t>
      </w:r>
      <w:r w:rsidRPr="00370D89">
        <w:rPr>
          <w:rFonts w:ascii="Times New Roman" w:eastAsia="Calibri" w:hAnsi="Times New Roman" w:cs="Times New Roman"/>
          <w:b/>
          <w:sz w:val="28"/>
          <w:szCs w:val="28"/>
          <w:u w:color="000000"/>
          <w:lang w:val="uk-UA"/>
        </w:rPr>
        <w:t xml:space="preserve"> ____ </w:t>
      </w:r>
    </w:p>
    <w:p w:rsidR="00370D89" w:rsidRPr="00370D89" w:rsidRDefault="00370D89" w:rsidP="00370D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</w:pPr>
      <w:r w:rsidRPr="00370D89"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  <w:t>ІНФОРМАЦІЯ</w:t>
      </w:r>
    </w:p>
    <w:p w:rsidR="00370D89" w:rsidRDefault="00370D89" w:rsidP="00370D89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</w:pPr>
      <w:r w:rsidRPr="00370D89"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  <w:t>про виконання плану заходів на 201</w:t>
      </w:r>
      <w:r w:rsidR="00600965"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  <w:t>8</w:t>
      </w:r>
      <w:r w:rsidRPr="00370D89"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  <w:t xml:space="preserve"> рік щодо реалізації Національної стратегії сприяння  розвитку громадянського суспільств</w:t>
      </w:r>
      <w:r w:rsidR="008136D3"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  <w:t>а в Україні на 2016— 2020 роки</w:t>
      </w:r>
    </w:p>
    <w:p w:rsidR="008952D5" w:rsidRDefault="008952D5" w:rsidP="00370D89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val="uk-UA"/>
        </w:rPr>
      </w:pPr>
    </w:p>
    <w:tbl>
      <w:tblPr>
        <w:tblStyle w:val="TableNormal"/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8"/>
        <w:gridCol w:w="2526"/>
        <w:gridCol w:w="3260"/>
        <w:gridCol w:w="8789"/>
      </w:tblGrid>
      <w:tr w:rsidR="008136D3" w:rsidRPr="00370D89" w:rsidTr="008136D3">
        <w:trPr>
          <w:trHeight w:val="1085"/>
          <w:tblHeader/>
        </w:trPr>
        <w:tc>
          <w:tcPr>
            <w:tcW w:w="588" w:type="dxa"/>
            <w:shd w:val="clear" w:color="auto" w:fill="auto"/>
          </w:tcPr>
          <w:p w:rsidR="008136D3" w:rsidRPr="00370D89" w:rsidRDefault="008136D3" w:rsidP="00E659E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  <w:t>№ з/п</w:t>
            </w:r>
          </w:p>
        </w:tc>
        <w:tc>
          <w:tcPr>
            <w:tcW w:w="2526" w:type="dxa"/>
            <w:shd w:val="clear" w:color="auto" w:fill="auto"/>
          </w:tcPr>
          <w:p w:rsidR="008136D3" w:rsidRPr="00370D89" w:rsidRDefault="008136D3" w:rsidP="00E659E0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Назва напряму</w:t>
            </w:r>
          </w:p>
          <w:p w:rsidR="008136D3" w:rsidRPr="00370D89" w:rsidRDefault="008136D3" w:rsidP="00E659E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діяльності</w:t>
            </w:r>
          </w:p>
          <w:p w:rsidR="008136D3" w:rsidRPr="00370D89" w:rsidRDefault="008136D3" w:rsidP="00E659E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(пріоритетні завдання)</w:t>
            </w:r>
          </w:p>
        </w:tc>
        <w:tc>
          <w:tcPr>
            <w:tcW w:w="3260" w:type="dxa"/>
            <w:shd w:val="clear" w:color="auto" w:fill="auto"/>
          </w:tcPr>
          <w:p w:rsidR="008136D3" w:rsidRPr="00370D89" w:rsidRDefault="008136D3" w:rsidP="00E659E0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Перелік заходів</w:t>
            </w:r>
          </w:p>
          <w:p w:rsidR="008136D3" w:rsidRPr="00370D89" w:rsidRDefault="008136D3" w:rsidP="00E659E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програми</w:t>
            </w:r>
          </w:p>
        </w:tc>
        <w:tc>
          <w:tcPr>
            <w:tcW w:w="8789" w:type="dxa"/>
            <w:shd w:val="clear" w:color="auto" w:fill="auto"/>
          </w:tcPr>
          <w:p w:rsidR="008136D3" w:rsidRPr="00370D89" w:rsidRDefault="008136D3" w:rsidP="00E659E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Проведені заходи</w:t>
            </w:r>
          </w:p>
        </w:tc>
      </w:tr>
    </w:tbl>
    <w:p w:rsidR="00370D89" w:rsidRPr="00370D89" w:rsidRDefault="00370D89" w:rsidP="00370D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4" w:lineRule="auto"/>
        <w:jc w:val="center"/>
        <w:rPr>
          <w:rFonts w:ascii="Calibri" w:eastAsia="Calibri" w:hAnsi="Calibri" w:cs="Calibri"/>
          <w:b/>
          <w:bCs/>
          <w:color w:val="000000"/>
          <w:sz w:val="2"/>
          <w:szCs w:val="28"/>
          <w:u w:color="000000"/>
          <w:bdr w:val="nil"/>
          <w:lang w:val="uk-UA" w:eastAsia="ru-RU"/>
        </w:rPr>
      </w:pPr>
    </w:p>
    <w:tbl>
      <w:tblPr>
        <w:tblStyle w:val="TableNormal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8"/>
        <w:gridCol w:w="2526"/>
        <w:gridCol w:w="3260"/>
        <w:gridCol w:w="8789"/>
      </w:tblGrid>
      <w:tr w:rsidR="00370D89" w:rsidRPr="00370D89" w:rsidTr="002D421A">
        <w:trPr>
          <w:trHeight w:val="351"/>
          <w:tblHeader/>
        </w:trPr>
        <w:tc>
          <w:tcPr>
            <w:tcW w:w="588" w:type="dxa"/>
            <w:shd w:val="clear" w:color="auto" w:fill="auto"/>
          </w:tcPr>
          <w:p w:rsidR="00370D89" w:rsidRPr="002D421A" w:rsidRDefault="008136D3" w:rsidP="00370D89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</w:pPr>
            <w:r w:rsidRPr="002D421A"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370D89" w:rsidRPr="002D421A" w:rsidRDefault="008136D3" w:rsidP="00370D8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</w:pPr>
            <w:r w:rsidRPr="002D421A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70D89" w:rsidRPr="002D421A" w:rsidRDefault="008136D3" w:rsidP="00370D8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</w:pPr>
            <w:r w:rsidRPr="002D421A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370D89" w:rsidRPr="002D421A" w:rsidRDefault="008136D3" w:rsidP="00370D8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uk-UA"/>
              </w:rPr>
            </w:pPr>
            <w:r w:rsidRPr="002D421A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4</w:t>
            </w:r>
          </w:p>
        </w:tc>
      </w:tr>
      <w:tr w:rsidR="00370D89" w:rsidRPr="00A10247" w:rsidTr="002D421A">
        <w:trPr>
          <w:cantSplit/>
          <w:trHeight w:val="591"/>
        </w:trPr>
        <w:tc>
          <w:tcPr>
            <w:tcW w:w="5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1.</w:t>
            </w:r>
          </w:p>
        </w:tc>
        <w:tc>
          <w:tcPr>
            <w:tcW w:w="25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Створення сприятливих умов для формування та інституційного розвитку організацій громадянського суспільства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1.1. Проведення соціологічних досліджень та вивчення громадської думки щодо тенденцій розвитку інституту громадянського суспільства, суспільних відносин, актуальних питань розвитку області, що потребують першочергового вирішення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EC" w:rsidRDefault="00AE1DEC" w:rsidP="002B4CF5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30 травня було проведено дискусію «</w:t>
            </w:r>
            <w:r w:rsidR="000A271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Чим живуть мешканці тимчасово неконтрольованих територій Донбасу?» під час якої було оприлюднено результати аналітичного звіту, підготовленого Фондом «</w:t>
            </w:r>
            <w:r w:rsidR="000A2714" w:rsidRPr="000A271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Демократичні ініціативи» імені Ілька Кучеріва</w:t>
            </w:r>
            <w:r w:rsidR="000A271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  <w:bookmarkStart w:id="0" w:name="_GoBack"/>
            <w:bookmarkEnd w:id="0"/>
          </w:p>
          <w:p w:rsidR="00370D89" w:rsidRDefault="002B4CF5" w:rsidP="002B4CF5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19-20 грудня в м.</w:t>
            </w:r>
            <w:r>
              <w:rPr>
                <w:lang w:val="uk-UA"/>
              </w:rPr>
              <w:t> 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Краматорськ </w:t>
            </w:r>
            <w:r w:rsidRPr="002B4CF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науков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ий директор</w:t>
            </w:r>
            <w:r w:rsidRPr="002B4CF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Фонду «Демократичні ініціативи» імені Ілька </w:t>
            </w:r>
            <w:proofErr w:type="spellStart"/>
            <w:r w:rsidRPr="002B4CF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Кучеріва</w:t>
            </w:r>
            <w:proofErr w:type="spellEnd"/>
            <w:r w:rsidRPr="002B4CF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О. </w:t>
            </w:r>
            <w:proofErr w:type="spellStart"/>
            <w:r w:rsidRPr="002B4CF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Гаран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та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ab/>
              <w:t>керівник</w:t>
            </w:r>
            <w:r w:rsidRPr="002B4CF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Аналітичного центру – заступник голови Всеукраїнської асоціації сприяння самоорганізації населення А. Крупник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презентували дослідження  </w:t>
            </w:r>
            <w:r w:rsidRPr="002B4CF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щодо тенденцій розвитку інституту громадянського суспільства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531F45" w:rsidRPr="00531F45" w:rsidRDefault="00531F45" w:rsidP="00531F45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м.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Мирноград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531F4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ГО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531F4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«Патріотичний Рух Донбасу»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було проведено д</w:t>
            </w:r>
            <w:r w:rsidRPr="00531F4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ослідження та вивчення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531F4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громадської думки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531F4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щодо впровадження програми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531F4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ПРООН «Безпечне місто»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</w:tc>
      </w:tr>
      <w:tr w:rsidR="00370D89" w:rsidRPr="00A10247" w:rsidTr="008952D5">
        <w:trPr>
          <w:cantSplit/>
          <w:trHeight w:val="1267"/>
        </w:trPr>
        <w:tc>
          <w:tcPr>
            <w:tcW w:w="58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numPr>
                <w:ilvl w:val="0"/>
                <w:numId w:val="1"/>
              </w:num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210CE1" w:rsidTr="002B4CF5">
        <w:trPr>
          <w:cantSplit/>
          <w:trHeight w:val="5203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1.2. Консультативно-методичне забезпечення діяльності та навчання представників громадської ради при облдержадміністрації, райдержадміністраціях,  органах місцевого самоврядування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958" w:rsidRDefault="002E4958" w:rsidP="002E495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Для представників громадських рад,  органів місцевого самоврядування та місцевих державних адміністрацій було проведено низку тренінгів на тему:</w:t>
            </w:r>
          </w:p>
          <w:p w:rsidR="002E4958" w:rsidRPr="002E4958" w:rsidRDefault="002E4958" w:rsidP="002E495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19-20 жовтня -</w:t>
            </w: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«Зміцнення інституційної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спроможності Уряду України та організацій громадянського суспільства для ефективної реалізації проектів за державного фінансування»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;</w:t>
            </w:r>
          </w:p>
          <w:p w:rsidR="002E4958" w:rsidRPr="002E4958" w:rsidRDefault="002E4958" w:rsidP="002E495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6-8 липня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- </w:t>
            </w: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«Громадські ради і органи місцевого самоврядування: законодавство, інструменти, практики  проведення </w:t>
            </w:r>
            <w:proofErr w:type="spellStart"/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антидискримінаційної</w:t>
            </w:r>
            <w:proofErr w:type="spellEnd"/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експертизи»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;</w:t>
            </w:r>
          </w:p>
          <w:p w:rsidR="002E4958" w:rsidRPr="002E4958" w:rsidRDefault="002E4958" w:rsidP="002E495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9-11 липня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-</w:t>
            </w: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«Проектний менеджмент, як інструмент </w:t>
            </w:r>
            <w:proofErr w:type="spellStart"/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фандрайзингу</w:t>
            </w:r>
            <w:proofErr w:type="spellEnd"/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для представників органів місцевого самоврядування та громадськості Донецької області»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;</w:t>
            </w:r>
          </w:p>
          <w:p w:rsidR="002E4958" w:rsidRPr="002E4958" w:rsidRDefault="002E4958" w:rsidP="002E495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08 червня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-</w:t>
            </w: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 «Від ідеї до реалізації. Програми фінансової підтримки інститутів громадянського суспільства»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;</w:t>
            </w:r>
          </w:p>
          <w:p w:rsidR="002E4958" w:rsidRPr="002E4958" w:rsidRDefault="002E4958" w:rsidP="002E495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17-18 травня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-</w:t>
            </w: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 «Громадські ради та органи місцевого самоврядування: механізм залучення громадськості у розробку та реалізацію громадського бюджету/бюджету участі»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;</w:t>
            </w:r>
          </w:p>
          <w:p w:rsidR="002E4958" w:rsidRPr="002E4958" w:rsidRDefault="002E4958" w:rsidP="002E495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12-13 квітня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-</w:t>
            </w: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 «Громадські ради та органи місцевого самоврядування: механізм впливу громадськості на прийняття рішень (локальна демократія)»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;</w:t>
            </w:r>
          </w:p>
          <w:p w:rsidR="002D421A" w:rsidRDefault="002E4958" w:rsidP="00A354C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12-13 березня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-</w:t>
            </w:r>
            <w:r w:rsidRPr="002E495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«Влада та громадськіс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ть: від взаємодії до співпраці»</w:t>
            </w:r>
            <w:r w:rsidR="002D421A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;</w:t>
            </w:r>
          </w:p>
          <w:p w:rsidR="00916D04" w:rsidRDefault="002D421A" w:rsidP="00A354C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Протягом року - </w:t>
            </w:r>
            <w:r w:rsidRPr="002D421A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«Влада та громадськість: від взаємодії до співпраці»; «Інтегрування технологій кейс-менеджменту в систему соціального захисту населення в умовах реформ децентралізації»; «Надання соціальних послуг в умовах децентралізації. Новітні технології для ОТГ: інтегрований підхід орієнтований на клієнта»; «Реформи та розвиток територій через впровадження інструментарію якісного планування та комунікації»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28047E" w:rsidRDefault="0028047E" w:rsidP="0028047E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Добропільському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районі розміщено </w:t>
            </w:r>
            <w:r w:rsidRPr="0028047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інформаційний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28047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стенд «Я маю право»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112A5A" w:rsidRPr="00112A5A" w:rsidRDefault="00112A5A" w:rsidP="00112A5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м. Покровськ протягом лютого було </w:t>
            </w:r>
            <w:r w:rsidRPr="00112A5A">
              <w:rPr>
                <w:rFonts w:eastAsia="Calibri"/>
                <w:color w:val="000000"/>
                <w:sz w:val="24"/>
                <w:szCs w:val="24"/>
                <w:u w:color="000000"/>
              </w:rPr>
              <w:t>проведен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</w:t>
            </w:r>
            <w:r w:rsidRPr="00112A5A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 </w:t>
            </w:r>
            <w:r w:rsidRPr="00112A5A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тренінги з покращення навичок з ефективного ведення діалогу, командної роботи, проектного менеджменту.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У </w:t>
            </w:r>
            <w:r w:rsidRPr="00112A5A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рамках пілотно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го</w:t>
            </w:r>
            <w:r w:rsidRPr="00112A5A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проект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у «</w:t>
            </w:r>
            <w:r w:rsidRPr="00112A5A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Інструменти вирішення конфліктів та організації діалогу на рівні громади»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112A5A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відбувся діалог на тему: «Розробка ефективного механізму взаємодії громади та влади»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</w:tc>
      </w:tr>
      <w:tr w:rsidR="00370D89" w:rsidRPr="00210CE1" w:rsidTr="002B4CF5">
        <w:trPr>
          <w:cantSplit/>
          <w:trHeight w:val="545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numPr>
                <w:ilvl w:val="0"/>
                <w:numId w:val="1"/>
              </w:num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A10247" w:rsidTr="006D2FFF">
        <w:trPr>
          <w:cantSplit/>
          <w:trHeight w:val="3105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345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1.3. Розробка та затвердження  Порядку визначення пріоритетів конкурсної підтримки ІГС, Положення «Про  проведення обласного конкурсу з визначення програм (проектів, заходів), розроблених інститутами громадянського суспільства для виконання (реалізації) яких надається фінансова підтримка» </w:t>
            </w:r>
          </w:p>
        </w:tc>
        <w:tc>
          <w:tcPr>
            <w:tcW w:w="8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Default="00370D89" w:rsidP="00E17B5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Департамент</w:t>
            </w:r>
            <w:r w:rsidR="00E17B5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ами </w:t>
            </w:r>
            <w:r w:rsidR="00E17B59" w:rsidRPr="00E17B5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інформаційної та внутрішньої політики, сім’ї, молоді та спорту, а також управлінням культури і туризму облдержадміністрації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було розроблено та зареєстровано в Головному територіальному управлінні юстиції у Донецькій області Порядок про</w:t>
            </w:r>
            <w:r w:rsidR="00E17B5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ведення обласного конкурсу з ви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значення програм (проектів, заходів), розроблених інститутами громадянського суспільства для виконання (реалізації) яких надається фінансова підтримка.</w:t>
            </w:r>
          </w:p>
          <w:p w:rsidR="00E17B59" w:rsidRDefault="00E17B59" w:rsidP="00E17B5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На даний час триває робота щодо розробки органами місцевого самоврядування та місцевими державними адміністраціями проектів </w:t>
            </w:r>
            <w:r w:rsidRPr="00E17B5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Порядку проведення конкурсу з визначення програм (проектів, заходів), розроблених інститутами громадянського суспільства, для виконання (реалізації)  яких надається  фінансова  підтримка»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відповідно до постанови КМУ </w:t>
            </w:r>
            <w:r w:rsidRPr="00E17B5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від 14.02.2018 № 156 «Деякі питання надання фінансової підтримки громадським об’єднанням ветеранів»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B27CCE" w:rsidRPr="00B27CCE" w:rsidRDefault="00B27CCE" w:rsidP="00B27CCE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B27CC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Рішенням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Вугледарської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B27CC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міської ради від 21.12.2018 затверджено Положення про</w:t>
            </w:r>
          </w:p>
          <w:p w:rsidR="00E17B59" w:rsidRPr="00370D89" w:rsidRDefault="00B27CCE" w:rsidP="00B27CCE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B27CC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порядок проведення конкурсу з визначення програм (проектів,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B27CC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заходів), розроблених інститутами громадянського суспільства, для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B27CC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виконання (реалізації) яких надається фінансова підтримка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</w:tc>
      </w:tr>
      <w:tr w:rsidR="00370D89" w:rsidRPr="00A10247" w:rsidTr="002D421A">
        <w:trPr>
          <w:cantSplit/>
          <w:trHeight w:val="1023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1.4. Проведення  громадських обговорень щодо реалізації обласної цільової програми сприяння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 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розвитку громадянського суспільства 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на 2017-2020  роки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796634" w:rsidP="00370D8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Під час проведення </w:t>
            </w:r>
            <w:r w:rsidRPr="0079663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форуму «Громадянське суспільство Донеччини»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було надано інформацію про проведені в 2018 році заходи. Також у січні-лютому планується обговорити з представниками громадської ради при облдержадміністрації виконання </w:t>
            </w:r>
            <w:r w:rsidRPr="0079663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обласної цільової програми сприяння розвитку громадянського суспільства на 2017-2020  роки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</w:tc>
      </w:tr>
      <w:tr w:rsidR="00370D89" w:rsidRPr="00A10247" w:rsidTr="008136D3">
        <w:trPr>
          <w:cantSplit/>
          <w:trHeight w:val="517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numPr>
                <w:ilvl w:val="0"/>
                <w:numId w:val="1"/>
              </w:num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5F62B4" w:rsidTr="000075B4">
        <w:trPr>
          <w:cantSplit/>
          <w:trHeight w:val="1646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1.5. Проведення конкурсу проектів ІГС, які спрямовані на розвиток громадянського суспільства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Default="005F62B4" w:rsidP="005F62B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поточному році </w:t>
            </w:r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департаментами інформаційної та внутрішньої політики, сім’ї, молоді та спорту, а також управлінням культури і туризму облдержадміністрації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проводились </w:t>
            </w:r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конкурс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и</w:t>
            </w:r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з визначення програм, розроблених інститутами громадянського суспільства для виконання яких надається фінансова підтримка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. Було визначено переможців: </w:t>
            </w:r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ГО «Федерація грецьких товариств України»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lastRenderedPageBreak/>
              <w:t>ГО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</w:t>
            </w:r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«Краматорська Вірменська Громада»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ГО «Фонд розвитку громади», ГО  «</w:t>
            </w:r>
            <w:proofErr w:type="spellStart"/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Айдами</w:t>
            </w:r>
            <w:proofErr w:type="spellEnd"/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», ГО «Анастасія», ГО «МАЛИНІВСЬКА РОДИНА», ГО «Джерело добробуту», ГО «МОЄ ПОКОЛІННЯ», ГО «Новий вимір», ГО «Танцювальний клуб Грація», ГО «Форпост», БО ВБФ «Зірки та зіроньки», ГО «Відповідальні громадяни», </w:t>
            </w:r>
            <w:proofErr w:type="spellStart"/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Добропільський</w:t>
            </w:r>
            <w:proofErr w:type="spellEnd"/>
            <w:r w:rsidRPr="005F62B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центр молоді «Добро», ДО ВМГО «Національна Організація Скаутів України», ГО «Союз ветеранів АТО Донбасу»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5F62B4" w:rsidRDefault="009E6053" w:rsidP="005F62B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9E605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Рішенням </w:t>
            </w:r>
            <w:proofErr w:type="spellStart"/>
            <w:r w:rsidRPr="009E605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Бахмутської</w:t>
            </w:r>
            <w:proofErr w:type="spellEnd"/>
            <w:r w:rsidRPr="009E605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міської ради від 28.02.2018 № 6/100-2109 було затверджено «Положення про проведення Конкурсу з визначення програм (проектів, заходів), розроблених інститутами громадянського суспільства м. </w:t>
            </w:r>
            <w:proofErr w:type="spellStart"/>
            <w:r w:rsidRPr="009E605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</w:t>
            </w:r>
            <w:proofErr w:type="spellEnd"/>
            <w:r w:rsidRPr="009E605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, для реалізації яких надається фінансова підтримка».</w:t>
            </w:r>
          </w:p>
          <w:p w:rsidR="00663743" w:rsidRDefault="00663743" w:rsidP="005F62B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поточному </w:t>
            </w:r>
            <w:r w:rsidRPr="0066374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році було запроваджено обласні конкурси «Волонтер Донеччини» та «Найкращі практики громадського бюджету»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8948B9" w:rsidRPr="008948B9" w:rsidRDefault="008948B9" w:rsidP="008948B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У жовтні педагогічні працівники, учні закладів освіти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області взяли участь у VІІІ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Всеукраїнсько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му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конкурсі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школярських та студентських проектів «Моральний вчинок»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 На конкурс було п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редставлено 32 проекти національно-патріотичного</w:t>
            </w:r>
          </w:p>
          <w:p w:rsidR="00663743" w:rsidRPr="00370D89" w:rsidRDefault="008948B9" w:rsidP="008948B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спрямування, 33 проекти соціального спрямування, 7 проектів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культурологічного спрямування, 21 проект екологічного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спрямування. </w:t>
            </w:r>
          </w:p>
        </w:tc>
      </w:tr>
      <w:tr w:rsidR="00370D89" w:rsidRPr="005F62B4" w:rsidTr="006D2FFF">
        <w:trPr>
          <w:cantSplit/>
          <w:trHeight w:val="517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numPr>
                <w:ilvl w:val="0"/>
                <w:numId w:val="1"/>
              </w:num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ED7DAB" w:rsidTr="008952D5">
        <w:trPr>
          <w:cantSplit/>
          <w:trHeight w:val="2883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1.6. Сприяти проведенню щорічних навчальних тренінгів для громадян, ініціативних груп громадян, ІГС, ОСББ, ОСН, інших цільових груп за тематикою громадянської та правової культури, механізмів громадської участі та контролю, </w:t>
            </w:r>
            <w:proofErr w:type="spellStart"/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адвокації</w:t>
            </w:r>
            <w:proofErr w:type="spellEnd"/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та 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lastRenderedPageBreak/>
              <w:t>інституціонального розвитку ІГС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Default="002518E2" w:rsidP="00A354CF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lastRenderedPageBreak/>
              <w:t xml:space="preserve">Під час проведення </w:t>
            </w:r>
            <w:r w:rsidRPr="002518E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форуму «Громадянське суспільство Донеччини»</w:t>
            </w:r>
            <w:r w:rsidR="000B52F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обговорювались питання щодо створювання </w:t>
            </w:r>
            <w:r w:rsidR="000B52F4" w:rsidRPr="000B52F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ОСББ</w:t>
            </w:r>
            <w:r w:rsidR="000B52F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та </w:t>
            </w:r>
            <w:r w:rsidR="000B52F4" w:rsidRPr="000B52F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ОСН</w:t>
            </w:r>
            <w:r w:rsidR="000B52F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. </w:t>
            </w:r>
          </w:p>
          <w:p w:rsidR="008948B9" w:rsidRDefault="008948B9" w:rsidP="008948B9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10 заклад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ах 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загальної середньої освіти Донецької області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було проведено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тренінг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и</w:t>
            </w:r>
            <w:r w:rsidRPr="008948B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у межах третього циклу програми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«Демократична школа».</w:t>
            </w:r>
          </w:p>
          <w:p w:rsidR="005A76B7" w:rsidRPr="005A76B7" w:rsidRDefault="005A76B7" w:rsidP="005A76B7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5A76B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У березні 2018 року ГО «</w:t>
            </w:r>
            <w:proofErr w:type="spellStart"/>
            <w:r w:rsidRPr="005A76B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Бахмутська</w:t>
            </w:r>
            <w:proofErr w:type="spellEnd"/>
            <w:r w:rsidRPr="005A76B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Фортеця» за фінансової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5A76B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підтримки ПРООН,</w:t>
            </w:r>
          </w:p>
          <w:p w:rsidR="005A76B7" w:rsidRDefault="005A76B7" w:rsidP="005A76B7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5A76B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Агентства США з міжнародного розвитку (USAID) в Україні та </w:t>
            </w:r>
            <w:proofErr w:type="spellStart"/>
            <w:r w:rsidRPr="005A76B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Бахмутської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5A76B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міської ради почали реалізацію проекту «Школа активної молоді в </w:t>
            </w:r>
            <w:proofErr w:type="spellStart"/>
            <w:r w:rsidRPr="005A76B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Бахмуті</w:t>
            </w:r>
            <w:proofErr w:type="spellEnd"/>
            <w:r w:rsidRPr="005A76B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272697" w:rsidRDefault="00272697" w:rsidP="00272697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м. Костянтинівка в </w:t>
            </w:r>
            <w:r w:rsidRPr="0027269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центральній міській публічній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27269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бібліотеці щочетверга надається безоплатна безкоштовна юридична допомога.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Також в</w:t>
            </w:r>
            <w:r w:rsidRPr="0027269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місті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27269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працює центр правової допомоги. Громадськість має можливість отримати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27269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кваліфіковану правову </w:t>
            </w:r>
            <w:r w:rsidRPr="0027269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lastRenderedPageBreak/>
              <w:t>допомогу, а 11 категорій населення можуть отримати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27269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безкоштовний адвокатський супровід.</w:t>
            </w:r>
          </w:p>
          <w:p w:rsidR="00A10247" w:rsidRPr="00A10247" w:rsidRDefault="00A10247" w:rsidP="00A10247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A1024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28 лютого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в Слов’янському районі було </w:t>
            </w:r>
            <w:r w:rsidRPr="00A1024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проведено семінар для сільських та селищних голів на тему «Конфлікти в громадах та можливості їх конструктивного</w:t>
            </w:r>
          </w:p>
          <w:p w:rsidR="005A76B7" w:rsidRDefault="00A10247" w:rsidP="00A10247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A1024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вирішення».</w:t>
            </w:r>
          </w:p>
          <w:p w:rsidR="00020516" w:rsidRPr="00020516" w:rsidRDefault="00020516" w:rsidP="00020516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В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Олександрівському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районі було проведено роботу щодо </w:t>
            </w:r>
            <w:r w:rsidRPr="0002051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роз’яснення положень</w:t>
            </w:r>
          </w:p>
          <w:p w:rsidR="00020516" w:rsidRPr="00020516" w:rsidRDefault="00020516" w:rsidP="00020516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02051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Закону України «Про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02051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громадські організації».</w:t>
            </w:r>
          </w:p>
          <w:p w:rsidR="00020516" w:rsidRDefault="00ED7DAB" w:rsidP="00ED7DAB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ED7DA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26 березня в </w:t>
            </w:r>
            <w:proofErr w:type="spellStart"/>
            <w:r w:rsidRPr="00ED7DA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Мар’їнській</w:t>
            </w:r>
            <w:proofErr w:type="spellEnd"/>
            <w:r w:rsidRPr="00ED7DA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 районній  станції юних натуралістів для вчителів  природничих дисциплін, початкових класів, керівників гуртків району відбувся тренінг «Впровадження оновлених додатків до навчально-методичного мультимедійного посібника (для України) «Крок за кроком». Інноваційні методи освіти для сталого розвитку»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спрямований на </w:t>
            </w:r>
            <w:r w:rsidRPr="00ED7DA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під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вищення громадської обізнаності.</w:t>
            </w:r>
          </w:p>
          <w:p w:rsidR="00AA7239" w:rsidRPr="00AA7239" w:rsidRDefault="00AA7239" w:rsidP="00AA7239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AA723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У квітні в м. Покровськ  було проведено конференцію за темою: «Зміцнення інформаційного та психологічного опору до сучасних</w:t>
            </w:r>
          </w:p>
          <w:p w:rsidR="00ED7DAB" w:rsidRDefault="00AA7239" w:rsidP="00AA7239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AA723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гібридних загроз».</w:t>
            </w:r>
          </w:p>
          <w:p w:rsidR="00F2445C" w:rsidRPr="00F2445C" w:rsidRDefault="00F2445C" w:rsidP="00F2445C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F2445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13 грудня на базі Краматорської загальноосвітньої школи І-ІІІ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F2445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ступенів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№</w:t>
            </w:r>
            <w:r w:rsidRPr="00F2445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16 Краматорської міської ради Донецької області відбувся обла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сний форум «Я маю право: </w:t>
            </w:r>
            <w:r w:rsidRPr="00F2445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врядування учнів, батьків і вчителів як інструмент демократизації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F2445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школи» </w:t>
            </w:r>
          </w:p>
          <w:p w:rsidR="00F2445C" w:rsidRDefault="00F2445C" w:rsidP="00F2445C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F2445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(участь взяли 30 команд закладів освіти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F2445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області).</w:t>
            </w:r>
          </w:p>
          <w:p w:rsidR="00A42896" w:rsidRDefault="00A42896" w:rsidP="00F2445C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A4289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06 жовтня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у м.</w:t>
            </w:r>
            <w:r w:rsidRPr="00A4289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Маріупол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ь</w:t>
            </w:r>
            <w:r w:rsidRPr="00A4289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відбулась</w:t>
            </w:r>
            <w:r w:rsidRPr="00A4289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«Школа місцевої демократії»</w:t>
            </w:r>
          </w:p>
          <w:p w:rsidR="00327F3B" w:rsidRDefault="00327F3B" w:rsidP="00F2445C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27F3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15 листопада у Фонді розвитку Маріуполя розпочала роботу Школа лідерів територіального розвитку.</w:t>
            </w:r>
          </w:p>
          <w:p w:rsidR="008136D3" w:rsidRPr="00370D89" w:rsidRDefault="009D6A90" w:rsidP="008136D3">
            <w:pPr>
              <w:suppressAutoHyphens/>
              <w:ind w:left="61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17 лютого в м.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Вугледар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було проведено </w:t>
            </w:r>
            <w:r w:rsidRPr="009D6A90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тренінг на тему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:</w:t>
            </w:r>
            <w:r w:rsidRPr="009D6A90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«Ефективне ОСББ», організований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="008136D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Агенцією розвитку </w:t>
            </w:r>
            <w:proofErr w:type="spellStart"/>
            <w:r w:rsidR="008136D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Вугледара</w:t>
            </w:r>
            <w:proofErr w:type="spellEnd"/>
            <w:r w:rsidR="008136D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</w:tc>
      </w:tr>
      <w:tr w:rsidR="00370D89" w:rsidRPr="00ED7DAB" w:rsidTr="00B1688D">
        <w:trPr>
          <w:cantSplit/>
          <w:trHeight w:val="517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numPr>
                <w:ilvl w:val="0"/>
                <w:numId w:val="1"/>
              </w:num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210CE1" w:rsidTr="008136D3">
        <w:trPr>
          <w:cantSplit/>
          <w:trHeight w:val="795"/>
        </w:trPr>
        <w:tc>
          <w:tcPr>
            <w:tcW w:w="588" w:type="dxa"/>
            <w:vMerge/>
            <w:tcBorders>
              <w:bottom w:val="nil"/>
            </w:tcBorders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1.7. Підготовка та розповсюдження методичних 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lastRenderedPageBreak/>
              <w:t xml:space="preserve">матеріалів щодо підвищення рівня інституційної спроможності громадських об’єднань 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8D" w:rsidRPr="00370D89" w:rsidRDefault="00370D89" w:rsidP="0008016B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B1688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lastRenderedPageBreak/>
              <w:t xml:space="preserve">Було підготовлено </w:t>
            </w:r>
            <w:r w:rsidR="00B1688D" w:rsidRPr="00B1688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методичні рекомендації щодо переліку соціальних послуг, що надаються особам, які перебувають у складних життєвих обставинах і н</w:t>
            </w:r>
            <w:r w:rsidR="00B1688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е можуть </w:t>
            </w:r>
            <w:r w:rsidR="00B1688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lastRenderedPageBreak/>
              <w:t>самостійно їх подолати</w:t>
            </w:r>
            <w:r w:rsidR="000801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, створення ОСБ</w:t>
            </w:r>
            <w:r w:rsidR="00B1688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та </w:t>
            </w:r>
            <w:proofErr w:type="spellStart"/>
            <w:r w:rsidR="000801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памятка</w:t>
            </w:r>
            <w:proofErr w:type="spellEnd"/>
            <w:r w:rsidR="000801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члена громадського формування з охорони громадського порядку при взаємодії з поліцією</w:t>
            </w:r>
            <w:r w:rsidR="00B1688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. Також було розповсюджено методичні матеріали стосовно реєстрації громадських формувань, благодійних фондів, </w:t>
            </w:r>
            <w:r w:rsidR="000801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 також посібник про організаційний розвиток громадських організацій</w:t>
            </w:r>
            <w:r w:rsidR="00B1688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. </w:t>
            </w:r>
          </w:p>
        </w:tc>
      </w:tr>
      <w:tr w:rsidR="00370D89" w:rsidRPr="00210CE1" w:rsidTr="008136D3">
        <w:trPr>
          <w:cantSplit/>
          <w:trHeight w:val="1233"/>
        </w:trPr>
        <w:tc>
          <w:tcPr>
            <w:tcW w:w="588" w:type="dxa"/>
            <w:tcBorders>
              <w:top w:val="nil"/>
            </w:tcBorders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tcBorders>
              <w:top w:val="nil"/>
            </w:tcBorders>
            <w:shd w:val="clear" w:color="auto" w:fill="auto"/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370D89" w:rsidTr="008952D5">
        <w:trPr>
          <w:cantSplit/>
          <w:trHeight w:val="801"/>
        </w:trPr>
        <w:tc>
          <w:tcPr>
            <w:tcW w:w="5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2.</w:t>
            </w:r>
          </w:p>
        </w:tc>
        <w:tc>
          <w:tcPr>
            <w:tcW w:w="25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Забезпечення ефективних процедур участі громадськості під час формування та реалізації державної, регіональної політики, вирішення питань місцевого значення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2.1. Проведення моніторингу наявності в районних державних адміністраціях і органах місцевого самоврядування інструментів місцевої демократії та діяльності місцевих рад щодо взаємодії з громадою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F57557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Було  направлено лист міським головам, головам райдержадміністрацій, об’єднаних територіальних громад стосовно наявності інструментів місцевої демократії та діяльності громадських рад.</w:t>
            </w:r>
          </w:p>
        </w:tc>
      </w:tr>
      <w:tr w:rsidR="00370D89" w:rsidRPr="00370D89" w:rsidTr="00F57557">
        <w:trPr>
          <w:cantSplit/>
          <w:trHeight w:val="1245"/>
        </w:trPr>
        <w:tc>
          <w:tcPr>
            <w:tcW w:w="58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210CE1" w:rsidTr="002B4CF5">
        <w:trPr>
          <w:cantSplit/>
          <w:trHeight w:val="7896"/>
        </w:trPr>
        <w:tc>
          <w:tcPr>
            <w:tcW w:w="5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2.2. Забезпечення застосування  органами місцевого самоврядування наступних інструментів місцевої демократії: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1) статуту територіальної громади;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2) положення «Про місцеву ініціативу»;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3) положення «Про громадські слухання»;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3) положення «Про загальні збори громадян за місцем проживання»;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4) порядку консультацій із громадськістю;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5) порядку проведення громадської експертизи діяльності органів місцевого самоврядування;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6) порядку  делегування органам самоорганізації населення окремих повноважень відповідної місцевої ради, фінансів та майна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7) порядку  прийняття бюджетних регламентів </w:t>
            </w:r>
          </w:p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EF" w:rsidRDefault="007D64A3" w:rsidP="007D64A3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7D64A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Рішенням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proofErr w:type="spellStart"/>
            <w:r w:rsidRPr="007D64A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Бахмутською</w:t>
            </w:r>
            <w:proofErr w:type="spellEnd"/>
            <w:r w:rsidRPr="007D64A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міською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7D64A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радою від 22.11.2017 № 6/107 – 2017 було затверджено «Положення про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7D64A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громадську експертизу у місті </w:t>
            </w:r>
            <w:proofErr w:type="spellStart"/>
            <w:r w:rsidRPr="007D64A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Бахмуті</w:t>
            </w:r>
            <w:proofErr w:type="spellEnd"/>
            <w:r w:rsidRPr="007D64A3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».</w:t>
            </w:r>
          </w:p>
          <w:p w:rsidR="00382E74" w:rsidRDefault="00382E74" w:rsidP="00177526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м. Костянтинівка </w:t>
            </w:r>
            <w:r w:rsidRPr="00382E7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рішення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</w:t>
            </w:r>
            <w:r w:rsidR="00982D7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и</w:t>
            </w:r>
            <w:r w:rsidRPr="00382E7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міської ради від 21.06.2018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382E7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№6/86-1592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382E7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затверджено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382E7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Положення про громадський бюджет</w:t>
            </w:r>
            <w:r w:rsid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а  </w:t>
            </w:r>
            <w:r w:rsidR="00177526" w:rsidRP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від 21.06.2018</w:t>
            </w:r>
            <w:r w:rsid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="00177526" w:rsidRP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№</w:t>
            </w:r>
            <w:r w:rsid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</w:t>
            </w:r>
            <w:r w:rsidR="00177526" w:rsidRP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6/86-1591 </w:t>
            </w:r>
            <w:r w:rsid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- </w:t>
            </w:r>
            <w:r w:rsidR="00177526" w:rsidRP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міську</w:t>
            </w:r>
            <w:r w:rsid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="00177526" w:rsidRP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цільову Програму «Громадський</w:t>
            </w:r>
            <w:r w:rsid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="00177526" w:rsidRP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бюджет міста на 2018-2020</w:t>
            </w:r>
            <w:r w:rsid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 </w:t>
            </w:r>
            <w:r w:rsidR="00177526" w:rsidRP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роки»</w:t>
            </w:r>
            <w:r w:rsidR="0017752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7B3DED" w:rsidRPr="007B3DED" w:rsidRDefault="007B3DED" w:rsidP="00177526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7B3DE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У Микола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ї</w:t>
            </w:r>
            <w:r w:rsidRPr="007B3DE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вськ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і</w:t>
            </w:r>
            <w:r w:rsidRPr="007B3DE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й ОТГ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рішенням Миколаївської міської ради від 07 грудня 2018 року № 06-XX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VII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-8 затверджено Положення про громадські слухання. </w:t>
            </w:r>
          </w:p>
          <w:p w:rsidR="00177526" w:rsidRDefault="008A5FC5" w:rsidP="008A5FC5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Рішення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proofErr w:type="spellStart"/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Новогродівської</w:t>
            </w:r>
            <w:proofErr w:type="spellEnd"/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місь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кої ради від 26.01.2018 №7/37-3 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було затверджено 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складу міської робочої групи  з розробки положень про інструменти місцевої демократії в </w:t>
            </w:r>
            <w:proofErr w:type="spellStart"/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м.Новогродівка</w:t>
            </w:r>
            <w:proofErr w:type="spellEnd"/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» ( зі змінами від 30.10.2018 №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7/49-4 «Про внесення змін до рішення </w:t>
            </w:r>
            <w:proofErr w:type="spellStart"/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Новогродівської</w:t>
            </w:r>
            <w:proofErr w:type="spellEnd"/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міської ради від 26.01.2018 №7/37-3 )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від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26.01.2018 №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7/37-2 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- 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затверджен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складу міської робочої групи з внесення змін до Статуту територіальної гр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омади м. </w:t>
            </w:r>
            <w:proofErr w:type="spellStart"/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Новогродівка</w:t>
            </w:r>
            <w:proofErr w:type="spellEnd"/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( зі змінами від 30.10.2018 №7/49-3)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від 25.05.2018 №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7/42-12 </w:t>
            </w:r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– затверджено </w:t>
            </w:r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Положення «Бюджет участі у місті </w:t>
            </w:r>
            <w:proofErr w:type="spellStart"/>
            <w:r w:rsidRPr="008A5FC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Новогродівка</w:t>
            </w:r>
            <w:proofErr w:type="spellEnd"/>
            <w:r w:rsid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382E74" w:rsidRPr="00370D89" w:rsidRDefault="00382E74" w:rsidP="00382E7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  <w:p w:rsidR="00382E74" w:rsidRPr="00370D89" w:rsidRDefault="00382E74" w:rsidP="00382E7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210CE1" w:rsidTr="008952D5">
        <w:trPr>
          <w:cantSplit/>
          <w:trHeight w:val="943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2.3.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 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Проведення інформаційно-роз’яснювальної роботи та консультацій щодо проектів рішень місцевих державних адміністрацій і органів місцевого самоврядування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B557AE" w:rsidP="002D421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Протягом поточного року облдержадміністрацією було проведено </w:t>
            </w:r>
            <w:r w:rsidR="002D421A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57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B557A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консультації з громадськістю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  <w:r w:rsidR="009B553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="002D421A" w:rsidRPr="002D421A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На обговорення виносилися питання щодо економічного та соціального розвитку області, впровадження реформ освітньої галузі Донеччини в межах Концепції «Нової української школи», охорони навколишнього природного середовища, оздоровлення та відпочинку дітей Донецької області, проведення обласних культурно-мистецьких заходів, реалізації Національної стратегії сприяння розвитку громадянського суспільства в Україні на 2016-2020 роки тощо.</w:t>
            </w:r>
          </w:p>
        </w:tc>
      </w:tr>
      <w:tr w:rsidR="00370D89" w:rsidRPr="00210CE1" w:rsidTr="008952D5">
        <w:trPr>
          <w:cantSplit/>
          <w:trHeight w:val="817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210CE1" w:rsidTr="002B4CF5">
        <w:trPr>
          <w:cantSplit/>
          <w:trHeight w:val="2402"/>
        </w:trPr>
        <w:tc>
          <w:tcPr>
            <w:tcW w:w="5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lastRenderedPageBreak/>
              <w:t>3.</w:t>
            </w:r>
          </w:p>
        </w:tc>
        <w:tc>
          <w:tcPr>
            <w:tcW w:w="25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Стимулювання участі організацій громадянського суспільства в соціально-економічному розвитку України</w:t>
            </w: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3.1. Організація системи підтримки ІГС, які сприяють розвитку підприємницького середовища, створенню нових робочих місць, наповненню бюджету області, вихованню соціально відповідального бізнесу</w:t>
            </w:r>
          </w:p>
        </w:tc>
        <w:tc>
          <w:tcPr>
            <w:tcW w:w="8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 області започаткували проведення конкурсного відбору проектів «Український донецький куркуль».</w:t>
            </w:r>
          </w:p>
          <w:p w:rsidR="00B17225" w:rsidRDefault="00A96CB0" w:rsidP="00B17225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З</w:t>
            </w:r>
            <w:r w:rsidR="00B17225" w:rsidRP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30</w:t>
            </w:r>
            <w:r w:rsid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жовтня по </w:t>
            </w:r>
            <w:r w:rsidR="00B17225" w:rsidRP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01</w:t>
            </w:r>
            <w:r w:rsid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листопада в м. </w:t>
            </w:r>
            <w:proofErr w:type="spellStart"/>
            <w:r w:rsid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</w:t>
            </w:r>
            <w:proofErr w:type="spellEnd"/>
            <w:r w:rsid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було проведено</w:t>
            </w:r>
            <w:r w:rsidR="00B17225" w:rsidRP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тренінг</w:t>
            </w:r>
            <w:r w:rsid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на тему: «</w:t>
            </w:r>
            <w:r w:rsidR="00B17225" w:rsidRP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Ветерани АТО:</w:t>
            </w:r>
            <w:r w:rsid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="00B17225" w:rsidRP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від діалогу до працевлаштування</w:t>
            </w:r>
            <w:r w:rsidR="00B1722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».</w:t>
            </w:r>
          </w:p>
          <w:p w:rsidR="00B17225" w:rsidRDefault="00764ACD" w:rsidP="00764ACD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764AC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18 липня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764AC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відбулася зустріч голови райдержадміністрації, керівника районної військово-цивільної адміністрації В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  <w:r w:rsidRPr="00764AC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Мороза з представниками благодійної організації «Родина Приазов’я», під час якої було підписано Меморандум про співпрацю  між даною благодійною організацією та </w:t>
            </w:r>
            <w:proofErr w:type="spellStart"/>
            <w:r w:rsidRPr="00764AC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Мар’їнською</w:t>
            </w:r>
            <w:proofErr w:type="spellEnd"/>
            <w:r w:rsidRPr="00764AC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райдержадміністрацією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,</w:t>
            </w:r>
            <w:r w:rsidRPr="00764AC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районною військово-цивільною адміністрацією.</w:t>
            </w:r>
          </w:p>
          <w:p w:rsidR="00BB59FD" w:rsidRDefault="00BB59FD" w:rsidP="00764ACD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BB59F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листопада в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Мар’їнському</w:t>
            </w:r>
            <w:proofErr w:type="spellEnd"/>
            <w:r w:rsidRPr="00BB59F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район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і</w:t>
            </w:r>
            <w:r w:rsidRPr="00BB59F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відбувся </w:t>
            </w:r>
            <w:r w:rsidRPr="00BB59F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Регіональн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ий </w:t>
            </w:r>
            <w:r w:rsidRPr="00BB59FD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форум «Живи та працюй в Україні»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BB59FD" w:rsidRPr="00370D89" w:rsidRDefault="009D75C8" w:rsidP="00764ACD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9D75C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12 вересня в молодіжному центрі «Вікторія» м.</w:t>
            </w:r>
            <w:r w:rsidR="00981F61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</w:t>
            </w:r>
            <w:proofErr w:type="spellStart"/>
            <w:r w:rsidRPr="009D75C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Мар’їнка</w:t>
            </w:r>
            <w:proofErr w:type="spellEnd"/>
            <w:r w:rsidRPr="009D75C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відбулося засідання круглого столу «Консультаційне Бюро для громадян: особливості надання послуг та формування громадянського суспільства в зоні підвищеної відповідальності»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370D89" w:rsidRDefault="00AA7239" w:rsidP="00AA723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AA723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У березні активісти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міст </w:t>
            </w:r>
            <w:r w:rsidRPr="00AA723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Покровська і Коломиї ініціювали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підписання м</w:t>
            </w:r>
            <w:r w:rsidRPr="00AA723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еморандуму співпраці між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AA723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містами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650BD8" w:rsidRPr="00650BD8" w:rsidRDefault="00650BD8" w:rsidP="00650BD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04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вересня в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Нікольському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районі відбулась н</w:t>
            </w: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арада з представниками канадських</w:t>
            </w:r>
          </w:p>
          <w:p w:rsidR="00650BD8" w:rsidRDefault="00650BD8" w:rsidP="00650BD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організацій задля підтримки малого та середнього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бізнесу в Україні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05 листопада - </w:t>
            </w: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нарада щодо інфраструктурних проектів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«Економі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чна підтримка Східної України», представники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Нікольської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райдержадміністрації </w:t>
            </w: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06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грудня взяли у</w:t>
            </w: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часть у національно практичній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конференції «Малий і середній бізнес Донеччини: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наявні можливості та перспективи сталого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650B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розвитку».</w:t>
            </w:r>
          </w:p>
          <w:p w:rsidR="00B309D8" w:rsidRDefault="00B309D8" w:rsidP="00B309D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При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Новогродівському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B309D8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міському центрі зайнятості створено Центр розвитку підприємництва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D47147" w:rsidRDefault="00D47147" w:rsidP="00D21F9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D4714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24 липня у Маріуполі, відбувся форум «Бізнес-Молодь: ефект WOW від співпраці»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D47147" w:rsidRPr="00764ACD" w:rsidRDefault="00D21F94" w:rsidP="00D47147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D21F9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08 листопада  фахівці Маріупольського міського центру зайнятості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провели</w:t>
            </w:r>
            <w:r w:rsidRPr="00D21F9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тренінг для майбутніх та діючих підприємців.</w:t>
            </w:r>
          </w:p>
        </w:tc>
      </w:tr>
      <w:tr w:rsidR="00370D89" w:rsidRPr="00370D89" w:rsidTr="006D2FFF">
        <w:trPr>
          <w:cantSplit/>
          <w:trHeight w:val="1332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3.2.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 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Розробка методичних рекомендації щодо впровадження в дію  Закону України «Про соціальні послуги»</w:t>
            </w:r>
          </w:p>
        </w:tc>
        <w:tc>
          <w:tcPr>
            <w:tcW w:w="8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Default="00631150" w:rsidP="0063115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Було розповсюджено, під час проведення </w:t>
            </w:r>
            <w:r w:rsidRP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форум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у</w:t>
            </w:r>
            <w:r w:rsidRP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«Громадянське суспільство Донеччини»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, методичні рекомендації щодо п</w:t>
            </w:r>
            <w:r w:rsidRP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ереліку соціальних послуг, що надаються особам, які перебувають у складних життєвих обставинах і не можуть самостійно їх подолати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. Під час проведення вищезазначеного форуму обговорювались питання </w:t>
            </w:r>
            <w:r w:rsidRP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надання соціальних послуг представниками ІГС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  <w:p w:rsidR="008136D3" w:rsidRPr="00370D89" w:rsidRDefault="00D47147" w:rsidP="00D47147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D4714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1 листопада у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м.</w:t>
            </w:r>
            <w:r w:rsidR="008952D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</w:t>
            </w:r>
            <w:r w:rsidRPr="00D4714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Маріупол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ь</w:t>
            </w:r>
            <w:r w:rsidRPr="00D47147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пройшов круглий стіл для соціальних працівників</w:t>
            </w:r>
          </w:p>
        </w:tc>
      </w:tr>
      <w:tr w:rsidR="00370D89" w:rsidRPr="00241865" w:rsidTr="008952D5">
        <w:trPr>
          <w:cantSplit/>
          <w:trHeight w:val="813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3.3.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 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Сприяти проведенню конкурсу проектів соціального замовлення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150" w:rsidRDefault="001D0150" w:rsidP="001D015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містах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Вугледар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Добропілля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, Дружківка, Краматорськ, Маріуполь та Слов’янськ проводились конкурси «Бюджет участі».</w:t>
            </w:r>
          </w:p>
          <w:p w:rsidR="00D20263" w:rsidRPr="00370D89" w:rsidRDefault="001D0150" w:rsidP="001D015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</w:t>
            </w:r>
            <w:r w:rsid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поточному році було запроваджено проведення обласного </w:t>
            </w:r>
            <w:r w:rsidR="00241865" w:rsidRP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конкурсу «Найкращі практики громадського бюджету»</w:t>
            </w:r>
            <w:r w:rsid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 На конкурс було подано 10 заявок. 19 грудня було н</w:t>
            </w:r>
            <w:r w:rsidR="00241865" w:rsidRP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агороджен</w:t>
            </w:r>
            <w:r w:rsid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</w:t>
            </w:r>
            <w:r w:rsidR="00241865" w:rsidRP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переможців обласного конкурсу «Найкращі практики громадського бюджету»</w:t>
            </w:r>
            <w:r w:rsidR="00241865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</w:p>
        </w:tc>
      </w:tr>
      <w:tr w:rsidR="00370D89" w:rsidRPr="00241865" w:rsidTr="008952D5">
        <w:trPr>
          <w:cantSplit/>
          <w:trHeight w:val="517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A354C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600965" w:rsidTr="008952D5">
        <w:trPr>
          <w:cantSplit/>
          <w:trHeight w:val="839"/>
        </w:trPr>
        <w:tc>
          <w:tcPr>
            <w:tcW w:w="588" w:type="dxa"/>
            <w:vMerge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3.4. Проведення інформаційно-роз’яснювальної роботи щодо створення органів самоорганізації населення та ОСББ в Донецькій області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Default="001D0150" w:rsidP="00A354C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1D0150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Під час проведення форуму «Громадянське суспільство Донеччини» обговорювались питання щодо створювання ОСББ та ОСН.</w:t>
            </w:r>
          </w:p>
          <w:p w:rsidR="00E966BE" w:rsidRDefault="00E966BE" w:rsidP="00E966BE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містах та районах області постійно проводиться робота щодо створення </w:t>
            </w:r>
            <w:r w:rsidRPr="00E966B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ОСББ та ОСН.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У м.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Новогродівка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р</w:t>
            </w:r>
            <w:r w:rsidRPr="00E966B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озроблено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та розповсюджено </w:t>
            </w:r>
            <w:r w:rsidRPr="00E966BE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буклети «ОСББ мій власний дім».</w:t>
            </w:r>
          </w:p>
          <w:p w:rsidR="008952D5" w:rsidRPr="00B27CCE" w:rsidRDefault="00B27CCE" w:rsidP="008952D5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У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м.Добропілля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відкрито Ресурсний центр підтримки ОСББ з питань чистої енергії, який було створено в рамках проекту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USAID</w:t>
            </w:r>
            <w:r w:rsidRPr="00B27CCE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Муніципальна енергетична реформа в Україні».</w:t>
            </w:r>
          </w:p>
        </w:tc>
      </w:tr>
      <w:tr w:rsidR="00370D89" w:rsidRPr="00600965" w:rsidTr="008952D5">
        <w:trPr>
          <w:cantSplit/>
          <w:trHeight w:val="970"/>
        </w:trPr>
        <w:tc>
          <w:tcPr>
            <w:tcW w:w="588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A354C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4A356B" w:rsidTr="008952D5">
        <w:trPr>
          <w:cantSplit/>
          <w:trHeight w:val="2701"/>
        </w:trPr>
        <w:tc>
          <w:tcPr>
            <w:tcW w:w="5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4.</w:t>
            </w:r>
          </w:p>
        </w:tc>
        <w:tc>
          <w:tcPr>
            <w:tcW w:w="25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Створення сприятливих умов для </w:t>
            </w:r>
            <w:proofErr w:type="spellStart"/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міжсекторальної</w:t>
            </w:r>
            <w:proofErr w:type="spellEnd"/>
            <w:r w:rsidRPr="00370D89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 співпраці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4.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</w:rPr>
              <w:t>1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 Проведення структурними підрозділами облдержадміністрації «Днів відкритих дверей» за проблематикою взаємодії з громадськістю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Default="004A356B" w:rsidP="004A356B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За ініціативи </w:t>
            </w:r>
            <w:r w:rsidR="00210CE1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облдержадміністрації</w:t>
            </w:r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було створено робочу групу з моніторингу дотримання строків та якості виконання будівельних робіт на об’єктах області, які фінансуються за рахунок коштів обласного бюджету. Представникам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громадських рад при </w:t>
            </w:r>
            <w:r w:rsidR="00640D62"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облдержадміністрації</w:t>
            </w:r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, виконкомах міських рад, райдержадміністраці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ях </w:t>
            </w:r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було запропоновано також долучитись до моніторингу об’єктів.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Спільно було перевірено об’єкти в </w:t>
            </w:r>
            <w:proofErr w:type="spellStart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Бахмуті</w:t>
            </w:r>
            <w:proofErr w:type="spellEnd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proofErr w:type="spellStart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Білицькому</w:t>
            </w:r>
            <w:proofErr w:type="spellEnd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proofErr w:type="spellStart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Добропіллі</w:t>
            </w:r>
            <w:proofErr w:type="spellEnd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Костянтинівці,  Краматорську, Слов’янську, Лимані, а також в </w:t>
            </w:r>
            <w:proofErr w:type="spellStart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Бахмутському</w:t>
            </w:r>
            <w:proofErr w:type="spellEnd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та Костянтинівському районах та </w:t>
            </w:r>
            <w:proofErr w:type="spellStart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Олександрівській</w:t>
            </w:r>
            <w:proofErr w:type="spellEnd"/>
            <w:r w:rsidRPr="004A356B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ОТГ.</w:t>
            </w:r>
          </w:p>
          <w:p w:rsidR="00EC56DF" w:rsidRDefault="00EC56DF" w:rsidP="00EC56D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EC56DF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lastRenderedPageBreak/>
              <w:t xml:space="preserve">З метою підвищення прозорості та відкритості діяльності </w:t>
            </w:r>
            <w:proofErr w:type="spellStart"/>
            <w:r w:rsidRPr="00EC56DF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Бахмутської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EC56DF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міської ради 22 лютого структурними підрозділами </w:t>
            </w:r>
            <w:proofErr w:type="spellStart"/>
            <w:r w:rsidRPr="00EC56DF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Бахмутської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EC56DF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міської ради був проведений «День відкритих дверей» за проблематикою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EC56DF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взаємодії з громадськістю.</w:t>
            </w:r>
          </w:p>
          <w:p w:rsidR="00EC56DF" w:rsidRDefault="00025CDC" w:rsidP="00025CDC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25 червня</w:t>
            </w:r>
            <w:r w:rsidRPr="00025CD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за участю представників Програми ПРООН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025CD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«Відновлення та розбудови миру» відбувся Форум місцевого розвитку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proofErr w:type="spellStart"/>
            <w:r w:rsidRPr="00025CD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Бахмутської</w:t>
            </w:r>
            <w:proofErr w:type="spellEnd"/>
            <w:r w:rsidRPr="00025CDC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  громади.</w:t>
            </w:r>
          </w:p>
          <w:p w:rsidR="007B1724" w:rsidRPr="00370D89" w:rsidRDefault="007B1724" w:rsidP="007B172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7B172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06 вересня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в </w:t>
            </w:r>
            <w:r w:rsidRPr="007B172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міста </w:t>
            </w:r>
            <w:proofErr w:type="spellStart"/>
            <w:r w:rsidRPr="007B172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Бахмут</w:t>
            </w:r>
            <w:proofErr w:type="spellEnd"/>
            <w:r w:rsidRPr="007B172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було проведено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7B1724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Ярмарку Громадських Організацій.</w:t>
            </w:r>
          </w:p>
        </w:tc>
      </w:tr>
      <w:tr w:rsidR="00370D89" w:rsidRPr="004A356B" w:rsidTr="006D2FFF">
        <w:trPr>
          <w:cantSplit/>
          <w:trHeight w:val="1375"/>
        </w:trPr>
        <w:tc>
          <w:tcPr>
            <w:tcW w:w="58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highlight w:val="green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210CE1" w:rsidTr="006D2FFF">
        <w:trPr>
          <w:cantSplit/>
          <w:trHeight w:val="517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8D6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4.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</w:rPr>
              <w:t>2</w:t>
            </w:r>
            <w:r w:rsidRPr="00370D89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. Проведення Форуму </w:t>
            </w:r>
            <w:r w:rsidR="003708D6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«Громадянське суспільство Донеччини»</w:t>
            </w:r>
          </w:p>
        </w:tc>
        <w:tc>
          <w:tcPr>
            <w:tcW w:w="878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Default="00640D62" w:rsidP="00640D62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19 грудня 2018 року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в м. Краматорськ було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проведен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 форум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«Громадянське суспільство Донеччини»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за участю заступника голови облдержадміністрації І. 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Стокоза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науков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ого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директор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Фонду «Демократичні ін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іціативи» імені Ілька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Кучеріва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О.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proofErr w:type="spellStart"/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Гаран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ab/>
              <w:t>керівник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Аналітичного центру – заступник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голови Всеукраїнської асоціації сприяння самоорганізації населення А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Крупник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завідувач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а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відділу Інституту філософії НАН України, виконавч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ого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директор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у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Фонду «Відродження» Є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.</w:t>
            </w:r>
            <w:r w:rsidRPr="00640D62"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 xml:space="preserve"> Бистрицьк</w:t>
            </w:r>
            <w:r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  <w:t>ого, керівників структурних підрозділів облдержадміністрації, представників органів місцевого самоврядування, місцевих державних адміністрацій, громадських рад, громадських формувань та ЗМІ.</w:t>
            </w:r>
          </w:p>
          <w:p w:rsidR="00640D62" w:rsidRPr="00370D89" w:rsidRDefault="00640D62" w:rsidP="00640D62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  <w:tr w:rsidR="00370D89" w:rsidRPr="00210CE1" w:rsidTr="006D2FFF">
        <w:trPr>
          <w:cantSplit/>
          <w:trHeight w:val="538"/>
        </w:trPr>
        <w:tc>
          <w:tcPr>
            <w:tcW w:w="588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370D89" w:rsidRPr="00370D89" w:rsidRDefault="00370D89" w:rsidP="00370D8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370D89">
            <w:pPr>
              <w:tabs>
                <w:tab w:val="left" w:pos="296"/>
              </w:tabs>
              <w:suppressAutoHyphens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878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D89" w:rsidRPr="00370D89" w:rsidRDefault="00370D89" w:rsidP="00A354C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</w:tr>
    </w:tbl>
    <w:p w:rsidR="00370D89" w:rsidRPr="00370D89" w:rsidRDefault="00370D89" w:rsidP="003708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Calibri" w:eastAsia="Calibri" w:hAnsi="Calibri" w:cs="Calibri"/>
          <w:color w:val="000000"/>
          <w:u w:color="000000"/>
          <w:bdr w:val="nil"/>
          <w:lang w:val="uk-UA" w:eastAsia="ru-RU"/>
        </w:rPr>
      </w:pPr>
    </w:p>
    <w:p w:rsidR="008136D3" w:rsidRPr="008136D3" w:rsidRDefault="008136D3" w:rsidP="008136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370D89" w:rsidRPr="00370D89" w:rsidRDefault="00370D89">
      <w:pPr>
        <w:rPr>
          <w:lang w:val="uk-UA"/>
        </w:rPr>
      </w:pPr>
    </w:p>
    <w:sectPr w:rsidR="00370D89" w:rsidRPr="00370D89" w:rsidSect="008952D5">
      <w:headerReference w:type="default" r:id="rId7"/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A9" w:rsidRDefault="002B5FA9" w:rsidP="00370D89">
      <w:pPr>
        <w:spacing w:after="0" w:line="240" w:lineRule="auto"/>
      </w:pPr>
      <w:r>
        <w:separator/>
      </w:r>
    </w:p>
  </w:endnote>
  <w:endnote w:type="continuationSeparator" w:id="0">
    <w:p w:rsidR="002B5FA9" w:rsidRDefault="002B5FA9" w:rsidP="0037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A9" w:rsidRDefault="002B5FA9" w:rsidP="00370D89">
      <w:pPr>
        <w:spacing w:after="0" w:line="240" w:lineRule="auto"/>
      </w:pPr>
      <w:r>
        <w:separator/>
      </w:r>
    </w:p>
  </w:footnote>
  <w:footnote w:type="continuationSeparator" w:id="0">
    <w:p w:rsidR="002B5FA9" w:rsidRDefault="002B5FA9" w:rsidP="0037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44547"/>
      <w:docPartObj>
        <w:docPartGallery w:val="Page Numbers (Top of Page)"/>
        <w:docPartUnique/>
      </w:docPartObj>
    </w:sdtPr>
    <w:sdtEndPr/>
    <w:sdtContent>
      <w:p w:rsidR="00370D89" w:rsidRDefault="00370D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714">
          <w:rPr>
            <w:noProof/>
          </w:rPr>
          <w:t>11</w:t>
        </w:r>
        <w:r>
          <w:fldChar w:fldCharType="end"/>
        </w:r>
      </w:p>
    </w:sdtContent>
  </w:sdt>
  <w:p w:rsidR="00370D89" w:rsidRDefault="00370D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9"/>
    <w:rsid w:val="000075B4"/>
    <w:rsid w:val="00020516"/>
    <w:rsid w:val="00025CDC"/>
    <w:rsid w:val="00073502"/>
    <w:rsid w:val="0008016B"/>
    <w:rsid w:val="000A2714"/>
    <w:rsid w:val="000B52F4"/>
    <w:rsid w:val="00112A5A"/>
    <w:rsid w:val="001404AA"/>
    <w:rsid w:val="001766EF"/>
    <w:rsid w:val="00177526"/>
    <w:rsid w:val="001D0150"/>
    <w:rsid w:val="00210CE1"/>
    <w:rsid w:val="00223018"/>
    <w:rsid w:val="00241865"/>
    <w:rsid w:val="002518E2"/>
    <w:rsid w:val="00272697"/>
    <w:rsid w:val="0028047E"/>
    <w:rsid w:val="002B4CF5"/>
    <w:rsid w:val="002B5FA9"/>
    <w:rsid w:val="002D421A"/>
    <w:rsid w:val="002E4958"/>
    <w:rsid w:val="002E7D5E"/>
    <w:rsid w:val="00327F3B"/>
    <w:rsid w:val="003708D6"/>
    <w:rsid w:val="00370D89"/>
    <w:rsid w:val="00382E74"/>
    <w:rsid w:val="00382F80"/>
    <w:rsid w:val="004A356B"/>
    <w:rsid w:val="00531F45"/>
    <w:rsid w:val="00564203"/>
    <w:rsid w:val="005A3FEB"/>
    <w:rsid w:val="005A76B7"/>
    <w:rsid w:val="005F62B4"/>
    <w:rsid w:val="00600965"/>
    <w:rsid w:val="00631150"/>
    <w:rsid w:val="00640D62"/>
    <w:rsid w:val="00646CB5"/>
    <w:rsid w:val="00650BD8"/>
    <w:rsid w:val="00663743"/>
    <w:rsid w:val="006C15CA"/>
    <w:rsid w:val="00764ACD"/>
    <w:rsid w:val="007830FF"/>
    <w:rsid w:val="00796634"/>
    <w:rsid w:val="007B1724"/>
    <w:rsid w:val="007B3DED"/>
    <w:rsid w:val="007D64A3"/>
    <w:rsid w:val="008136D3"/>
    <w:rsid w:val="008948B9"/>
    <w:rsid w:val="008952D5"/>
    <w:rsid w:val="008A5FC5"/>
    <w:rsid w:val="00916D04"/>
    <w:rsid w:val="00981F61"/>
    <w:rsid w:val="00982D74"/>
    <w:rsid w:val="009B5538"/>
    <w:rsid w:val="009D6A90"/>
    <w:rsid w:val="009D75C8"/>
    <w:rsid w:val="009E6053"/>
    <w:rsid w:val="00A10247"/>
    <w:rsid w:val="00A354CF"/>
    <w:rsid w:val="00A42896"/>
    <w:rsid w:val="00A64EDD"/>
    <w:rsid w:val="00A65F7F"/>
    <w:rsid w:val="00A80C93"/>
    <w:rsid w:val="00A96CB0"/>
    <w:rsid w:val="00AA7239"/>
    <w:rsid w:val="00AE1DEC"/>
    <w:rsid w:val="00B1688D"/>
    <w:rsid w:val="00B17225"/>
    <w:rsid w:val="00B27CCE"/>
    <w:rsid w:val="00B309D8"/>
    <w:rsid w:val="00B557AE"/>
    <w:rsid w:val="00BB59FD"/>
    <w:rsid w:val="00BE61D5"/>
    <w:rsid w:val="00C779A1"/>
    <w:rsid w:val="00CE3D58"/>
    <w:rsid w:val="00D00F6D"/>
    <w:rsid w:val="00D20263"/>
    <w:rsid w:val="00D21F94"/>
    <w:rsid w:val="00D47147"/>
    <w:rsid w:val="00E17B59"/>
    <w:rsid w:val="00E966BE"/>
    <w:rsid w:val="00EB014D"/>
    <w:rsid w:val="00EB42B1"/>
    <w:rsid w:val="00EC56DF"/>
    <w:rsid w:val="00ED7DAB"/>
    <w:rsid w:val="00F2445C"/>
    <w:rsid w:val="00F57557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C02E"/>
  <w15:chartTrackingRefBased/>
  <w15:docId w15:val="{79D80478-33B1-41AD-84D7-C617E7C3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0D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89"/>
  </w:style>
  <w:style w:type="paragraph" w:styleId="a5">
    <w:name w:val="footer"/>
    <w:basedOn w:val="a"/>
    <w:link w:val="a6"/>
    <w:uiPriority w:val="99"/>
    <w:unhideWhenUsed/>
    <w:rsid w:val="0037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89"/>
  </w:style>
  <w:style w:type="paragraph" w:styleId="a7">
    <w:name w:val="Balloon Text"/>
    <w:basedOn w:val="a"/>
    <w:link w:val="a8"/>
    <w:uiPriority w:val="99"/>
    <w:semiHidden/>
    <w:unhideWhenUsed/>
    <w:rsid w:val="0089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DonODA</dc:creator>
  <cp:keywords/>
  <dc:description/>
  <cp:lastModifiedBy>DonODA</cp:lastModifiedBy>
  <cp:revision>69</cp:revision>
  <cp:lastPrinted>2019-01-16T14:03:00Z</cp:lastPrinted>
  <dcterms:created xsi:type="dcterms:W3CDTF">2018-12-25T11:25:00Z</dcterms:created>
  <dcterms:modified xsi:type="dcterms:W3CDTF">2019-01-23T08:50:00Z</dcterms:modified>
</cp:coreProperties>
</file>