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494" w:rsidRDefault="00102923">
      <w:pPr>
        <w:pStyle w:val="Standard"/>
        <w:ind w:right="141"/>
        <w:jc w:val="center"/>
      </w:pPr>
      <w:bookmarkStart w:id="0" w:name="_GoBack"/>
      <w:bookmarkEnd w:id="0"/>
      <w:r>
        <w:rPr>
          <w:rFonts w:cs="Times New Roman"/>
          <w:b/>
          <w:sz w:val="28"/>
          <w:szCs w:val="28"/>
        </w:rPr>
        <w:t xml:space="preserve">   З В І Т</w:t>
      </w:r>
    </w:p>
    <w:p w:rsidR="00754494" w:rsidRDefault="00102923">
      <w:pPr>
        <w:pStyle w:val="Standard"/>
        <w:ind w:right="141"/>
        <w:jc w:val="center"/>
        <w:rPr>
          <w:rFonts w:cs="Times New Roman"/>
          <w:b/>
          <w:sz w:val="28"/>
          <w:szCs w:val="28"/>
        </w:rPr>
      </w:pPr>
      <w:r>
        <w:rPr>
          <w:rFonts w:cs="Times New Roman"/>
          <w:b/>
          <w:sz w:val="28"/>
          <w:szCs w:val="28"/>
        </w:rPr>
        <w:t>про стан роботи управління запобігання та виявлення корупції</w:t>
      </w:r>
    </w:p>
    <w:p w:rsidR="00754494" w:rsidRDefault="00102923">
      <w:pPr>
        <w:pStyle w:val="Standard"/>
        <w:ind w:right="141"/>
        <w:jc w:val="center"/>
        <w:rPr>
          <w:rFonts w:cs="Times New Roman"/>
          <w:b/>
          <w:sz w:val="28"/>
          <w:szCs w:val="28"/>
        </w:rPr>
      </w:pPr>
      <w:r>
        <w:rPr>
          <w:rFonts w:cs="Times New Roman"/>
          <w:b/>
          <w:sz w:val="28"/>
          <w:szCs w:val="28"/>
        </w:rPr>
        <w:t>облдержадміністрації за I квартал 2021 року</w:t>
      </w:r>
    </w:p>
    <w:p w:rsidR="00754494" w:rsidRDefault="00754494">
      <w:pPr>
        <w:pStyle w:val="Standard"/>
        <w:ind w:right="141"/>
        <w:jc w:val="center"/>
      </w:pPr>
    </w:p>
    <w:p w:rsidR="00754494" w:rsidRDefault="00102923">
      <w:pPr>
        <w:widowControl/>
        <w:spacing w:after="120" w:line="285" w:lineRule="atLeast"/>
        <w:ind w:right="141" w:firstLine="706"/>
        <w:jc w:val="both"/>
        <w:rPr>
          <w:sz w:val="26"/>
          <w:szCs w:val="26"/>
        </w:rPr>
      </w:pPr>
      <w:r>
        <w:rPr>
          <w:sz w:val="26"/>
          <w:szCs w:val="26"/>
        </w:rPr>
        <w:t xml:space="preserve">Управлінням запобігання та виявлення корупції облдержадміністрації </w:t>
      </w:r>
      <w:r>
        <w:rPr>
          <w:sz w:val="26"/>
          <w:szCs w:val="26"/>
        </w:rPr>
        <w:t>(далі – управління) на виконання статті 19 Закону України «Про запобігання корупції» розроблено Антикорупційну програму Донецької обласної державної адміністрації, обласної військово-цивільної адміністрації на 2021-2023 роки (далі – Антикорупційна програма</w:t>
      </w:r>
      <w:r>
        <w:rPr>
          <w:sz w:val="26"/>
          <w:szCs w:val="26"/>
        </w:rPr>
        <w:t>), затверджено розпорядженням голови облдержадміністрації, керівника обласної військово-цивільної адміністрації від 08 лютого 2021 року № 123/5-21 «Про затвердження Антикорупційної програми Донецької обласної державної адміністрації, обласної військово-цив</w:t>
      </w:r>
      <w:r>
        <w:rPr>
          <w:sz w:val="26"/>
          <w:szCs w:val="26"/>
        </w:rPr>
        <w:t>ільної адміністрації на 2021-2023 роки», погоджено наказом Національного агентства з питань запобігання корупції                      від 11 березня 2021 року № 161/21 «Про погодження Антикорупційної програми Донецької обласної державної адміністрації, обл</w:t>
      </w:r>
      <w:r>
        <w:rPr>
          <w:sz w:val="26"/>
          <w:szCs w:val="26"/>
        </w:rPr>
        <w:t>асної військово-цивільної адміністрації на 2021-2023 роки».</w:t>
      </w:r>
    </w:p>
    <w:p w:rsidR="00754494" w:rsidRDefault="00102923">
      <w:pPr>
        <w:widowControl/>
        <w:spacing w:after="120" w:line="285" w:lineRule="atLeast"/>
        <w:ind w:right="141" w:firstLine="709"/>
        <w:jc w:val="both"/>
        <w:rPr>
          <w:sz w:val="26"/>
          <w:szCs w:val="26"/>
        </w:rPr>
      </w:pPr>
      <w:r>
        <w:rPr>
          <w:sz w:val="26"/>
          <w:szCs w:val="26"/>
        </w:rPr>
        <w:t>В рамках розробки Антикорупційної програми на виконання розпорядження голови облдержадміністрації, керівника обласної військово-цивільної адміністрації від 04 грудня 2021 року № 1309/5-20 «Про про</w:t>
      </w:r>
      <w:r>
        <w:rPr>
          <w:sz w:val="26"/>
          <w:szCs w:val="26"/>
        </w:rPr>
        <w:t>ведення оцінки корупційних ризиків» та з метою планування організаційно-підготовчих заходів, ідентифікації та оцінки корупційних ризиків, складання звіту за результатами такої оцінки, підготовки заходів щодо усунення виявлених корупційних ризиків організов</w:t>
      </w:r>
      <w:r>
        <w:rPr>
          <w:sz w:val="26"/>
          <w:szCs w:val="26"/>
        </w:rPr>
        <w:t xml:space="preserve">ано роботу комісії з оцінки корупційних ризиків у діяльності облдержадміністрації та її структурних підрозділів (далі – комісія). </w:t>
      </w:r>
    </w:p>
    <w:p w:rsidR="00754494" w:rsidRDefault="00102923">
      <w:pPr>
        <w:widowControl/>
        <w:spacing w:after="120" w:line="285" w:lineRule="atLeast"/>
        <w:ind w:right="141" w:firstLine="709"/>
        <w:jc w:val="both"/>
        <w:rPr>
          <w:sz w:val="26"/>
          <w:szCs w:val="26"/>
        </w:rPr>
      </w:pPr>
      <w:r>
        <w:rPr>
          <w:sz w:val="26"/>
          <w:szCs w:val="26"/>
        </w:rPr>
        <w:t>Встановлено зовнішній контроль за здійсненням роботи з розробки Антикорупційної програми (у тому числі оцінки корупційних риз</w:t>
      </w:r>
      <w:r>
        <w:rPr>
          <w:sz w:val="26"/>
          <w:szCs w:val="26"/>
        </w:rPr>
        <w:t>иків) шляхом забезпечення постійної участі у складі комісії з оцінки корупційних ризиків у діяльності облдержадміністрації та її структурних підрозділів представника громадськості, який володіє знаннями про внутрішнє і зовнішнє середовище облдержадміністра</w:t>
      </w:r>
      <w:r>
        <w:rPr>
          <w:sz w:val="26"/>
          <w:szCs w:val="26"/>
        </w:rPr>
        <w:t>ції, має документально підтверджений досвід  роботи у відповідній сфері.</w:t>
      </w:r>
    </w:p>
    <w:p w:rsidR="00754494" w:rsidRDefault="00102923">
      <w:pPr>
        <w:widowControl/>
        <w:spacing w:after="120" w:line="285" w:lineRule="atLeast"/>
        <w:ind w:right="141" w:firstLine="709"/>
        <w:jc w:val="both"/>
        <w:rPr>
          <w:sz w:val="26"/>
          <w:szCs w:val="26"/>
        </w:rPr>
      </w:pPr>
      <w:r>
        <w:rPr>
          <w:sz w:val="26"/>
          <w:szCs w:val="26"/>
        </w:rPr>
        <w:t>Проведено навчання Методології оцінювання корупційних ризиків у діяльності органів влади, затвердженої рішенням Національного агентства з питань запобігання корупції від 02 грудня 201</w:t>
      </w:r>
      <w:r>
        <w:rPr>
          <w:sz w:val="26"/>
          <w:szCs w:val="26"/>
        </w:rPr>
        <w:t xml:space="preserve">6 року № 126, зареєстрованої в Міністерстві юстиції України 28 грудня 2016 року за № 1718/29848 членів комісії. </w:t>
      </w:r>
    </w:p>
    <w:p w:rsidR="00754494" w:rsidRDefault="00102923">
      <w:pPr>
        <w:widowControl/>
        <w:spacing w:after="120" w:line="285" w:lineRule="atLeast"/>
        <w:ind w:right="141" w:firstLine="709"/>
        <w:jc w:val="both"/>
        <w:rPr>
          <w:sz w:val="26"/>
          <w:szCs w:val="26"/>
        </w:rPr>
      </w:pPr>
      <w:r>
        <w:rPr>
          <w:sz w:val="26"/>
          <w:szCs w:val="26"/>
        </w:rPr>
        <w:t xml:space="preserve">Комісією ідентифіковано 46 корупційних ризиків у діяльності облдержадміністрації та її структурних підрозділів. </w:t>
      </w:r>
    </w:p>
    <w:p w:rsidR="00754494" w:rsidRDefault="00102923">
      <w:pPr>
        <w:widowControl/>
        <w:spacing w:after="120" w:line="285" w:lineRule="atLeast"/>
        <w:ind w:right="141" w:firstLine="709"/>
        <w:jc w:val="both"/>
        <w:rPr>
          <w:sz w:val="26"/>
          <w:szCs w:val="26"/>
        </w:rPr>
      </w:pPr>
      <w:r>
        <w:rPr>
          <w:sz w:val="26"/>
          <w:szCs w:val="26"/>
        </w:rPr>
        <w:t>Проведено моніторинг результат</w:t>
      </w:r>
      <w:r>
        <w:rPr>
          <w:sz w:val="26"/>
          <w:szCs w:val="26"/>
        </w:rPr>
        <w:t>ів впровадження заходів, передбачених Антикорупційною програмою Донецької обласної державної адміністрації, обласної військово-цивільної адміністрації на 2019-2020 роки, під час якого здійснено оцінку її ефективності, за результатами моніторингу складено З</w:t>
      </w:r>
      <w:r>
        <w:rPr>
          <w:sz w:val="26"/>
          <w:szCs w:val="26"/>
        </w:rPr>
        <w:t>віт. Протягом I кварталу 2021 року засідання комісії проводилися 3 рази.</w:t>
      </w:r>
    </w:p>
    <w:p w:rsidR="00754494" w:rsidRDefault="00102923">
      <w:pPr>
        <w:widowControl/>
        <w:spacing w:after="120" w:line="285" w:lineRule="atLeast"/>
        <w:ind w:right="141" w:firstLine="709"/>
        <w:jc w:val="both"/>
        <w:rPr>
          <w:sz w:val="26"/>
          <w:szCs w:val="26"/>
        </w:rPr>
      </w:pPr>
      <w:r>
        <w:rPr>
          <w:sz w:val="26"/>
          <w:szCs w:val="26"/>
        </w:rPr>
        <w:t xml:space="preserve">Управлінням здійснено формальне визначення ідентифікованих корупційних ризиків, проведено публічне громадське обговорення проєкту Антикорупційної програми та за результатами складено </w:t>
      </w:r>
      <w:r>
        <w:rPr>
          <w:sz w:val="26"/>
          <w:szCs w:val="26"/>
        </w:rPr>
        <w:t>відповідний звіт.</w:t>
      </w:r>
    </w:p>
    <w:p w:rsidR="00754494" w:rsidRDefault="00102923">
      <w:pPr>
        <w:pStyle w:val="Standard"/>
        <w:tabs>
          <w:tab w:val="left" w:pos="709"/>
          <w:tab w:val="left" w:pos="900"/>
          <w:tab w:val="left" w:pos="1200"/>
          <w:tab w:val="left" w:pos="10155"/>
        </w:tabs>
        <w:ind w:right="141"/>
        <w:jc w:val="both"/>
        <w:rPr>
          <w:sz w:val="26"/>
          <w:szCs w:val="26"/>
        </w:rPr>
      </w:pPr>
      <w:r>
        <w:rPr>
          <w:sz w:val="26"/>
          <w:szCs w:val="26"/>
        </w:rPr>
        <w:lastRenderedPageBreak/>
        <w:tab/>
      </w:r>
      <w:r>
        <w:rPr>
          <w:sz w:val="26"/>
          <w:szCs w:val="26"/>
        </w:rPr>
        <w:tab/>
        <w:t>До Національного агентства з питань запобігання корупції направлено Звіт про виконання Антикорупційної програми Донецької обласної державної адміністрації на 2019-2020 роки, інформацію щодо діяльності уповноваженого (оцінювання ефективн</w:t>
      </w:r>
      <w:r>
        <w:rPr>
          <w:sz w:val="26"/>
          <w:szCs w:val="26"/>
        </w:rPr>
        <w:t>ості уповноважених за результатами діяльності) за 2020 рік, інформацію, необхідну для підготовки проєкту щорічної національної доповіді щодо реалізації засад антикорупційної політики.</w:t>
      </w:r>
    </w:p>
    <w:p w:rsidR="00754494" w:rsidRDefault="00102923">
      <w:pPr>
        <w:pStyle w:val="Standard"/>
        <w:tabs>
          <w:tab w:val="left" w:pos="709"/>
          <w:tab w:val="left" w:pos="900"/>
          <w:tab w:val="left" w:pos="1200"/>
          <w:tab w:val="left" w:pos="10155"/>
        </w:tabs>
        <w:ind w:right="141" w:firstLine="567"/>
        <w:jc w:val="both"/>
        <w:rPr>
          <w:sz w:val="26"/>
          <w:szCs w:val="26"/>
        </w:rPr>
      </w:pPr>
      <w:r>
        <w:rPr>
          <w:sz w:val="26"/>
          <w:szCs w:val="26"/>
        </w:rPr>
        <w:t xml:space="preserve">Проведено публічне громадське обговорення проєкту Порядку організації в </w:t>
      </w:r>
      <w:r>
        <w:rPr>
          <w:sz w:val="26"/>
          <w:szCs w:val="26"/>
        </w:rPr>
        <w:t>обласній державній адміністрації роботи з повідомленнями викривачів про можливі факти корупційних або пов’язаних з корупцією правопорушень, інших порушень Закону України «Про запобігання корупції», складено звіт за результатами проведення публічного громад</w:t>
      </w:r>
      <w:r>
        <w:rPr>
          <w:sz w:val="26"/>
          <w:szCs w:val="26"/>
        </w:rPr>
        <w:t>ського обговорення та опубліковано на офіційному вебсайті облдержадміністрації.</w:t>
      </w:r>
    </w:p>
    <w:p w:rsidR="00754494" w:rsidRDefault="00102923">
      <w:pPr>
        <w:pStyle w:val="Standard"/>
        <w:tabs>
          <w:tab w:val="left" w:pos="709"/>
          <w:tab w:val="left" w:pos="900"/>
          <w:tab w:val="left" w:pos="1200"/>
          <w:tab w:val="left" w:pos="10155"/>
        </w:tabs>
        <w:ind w:right="141"/>
        <w:jc w:val="both"/>
      </w:pPr>
      <w:r>
        <w:rPr>
          <w:sz w:val="26"/>
          <w:szCs w:val="26"/>
        </w:rPr>
        <w:tab/>
        <w:t xml:space="preserve">Проведено навчальні заходи з питань дотримання вимог антикорупційного  законодавства. </w:t>
      </w:r>
      <w:r>
        <w:rPr>
          <w:rFonts w:cs="Times New Roman"/>
          <w:sz w:val="26"/>
          <w:szCs w:val="26"/>
        </w:rPr>
        <w:t>В рамках кампанії щорічного декларування проведено семінари-навчання (вебінари) з працівн</w:t>
      </w:r>
      <w:r>
        <w:rPr>
          <w:rFonts w:cs="Times New Roman"/>
          <w:sz w:val="26"/>
          <w:szCs w:val="26"/>
        </w:rPr>
        <w:t>иками апарату та структурних підрозділів облдержадміністрації, посадовими особами та уповноваженими особами з питань запобігання та виявлення корупції підприємств, установ та організацій, повноваження з управління якими здійснює облдержадміністрація, на те</w:t>
      </w:r>
      <w:r>
        <w:rPr>
          <w:rFonts w:cs="Times New Roman"/>
          <w:sz w:val="26"/>
          <w:szCs w:val="26"/>
        </w:rPr>
        <w:t>ми «Фінансовий контроль», «Фінансовий контроль в частині своєчасності подання декларацій осіб, уповноважених на виконання функцій держави або місцевого самоврядування представниками громадських об’єднань, наукових установ, навчальних закладів, експертів ві</w:t>
      </w:r>
      <w:r>
        <w:rPr>
          <w:rFonts w:cs="Times New Roman"/>
          <w:sz w:val="26"/>
          <w:szCs w:val="26"/>
        </w:rPr>
        <w:t xml:space="preserve">дповідної кваліфікації, іншими особами, які входять до складу конкурсних та дисциплінарних комісій, утворених відповідно до Закону України «Про державну службу». </w:t>
      </w:r>
      <w:r>
        <w:rPr>
          <w:sz w:val="26"/>
          <w:szCs w:val="26"/>
        </w:rPr>
        <w:t xml:space="preserve">Під час проведення зазначених семінарів </w:t>
      </w:r>
      <w:r>
        <w:rPr>
          <w:rStyle w:val="ListLabel1"/>
          <w:rFonts w:cs="Times New Roman"/>
          <w:sz w:val="26"/>
          <w:szCs w:val="26"/>
        </w:rPr>
        <w:t>доведено до відома слухачів узагальнених відомостей пр</w:t>
      </w:r>
      <w:r>
        <w:rPr>
          <w:rStyle w:val="ListLabel1"/>
          <w:rFonts w:cs="Times New Roman"/>
          <w:sz w:val="26"/>
          <w:szCs w:val="26"/>
        </w:rPr>
        <w:t>о виявлені порушення вимог антикорупційного законодавства у сфері фінансового контролю по Донецькій області у попередні періоди, та стан притягнення винних осіб до відповідальності.</w:t>
      </w:r>
    </w:p>
    <w:p w:rsidR="00754494" w:rsidRDefault="00102923">
      <w:pPr>
        <w:pStyle w:val="Standard"/>
        <w:tabs>
          <w:tab w:val="left" w:pos="709"/>
          <w:tab w:val="left" w:pos="900"/>
          <w:tab w:val="left" w:pos="1200"/>
          <w:tab w:val="left" w:pos="10155"/>
        </w:tabs>
        <w:ind w:right="141" w:firstLine="567"/>
        <w:jc w:val="both"/>
        <w:rPr>
          <w:sz w:val="26"/>
          <w:szCs w:val="26"/>
        </w:rPr>
      </w:pPr>
      <w:r>
        <w:rPr>
          <w:sz w:val="26"/>
          <w:szCs w:val="26"/>
        </w:rPr>
        <w:t>Проведено навчальний семінар з працівниками управління діловодства та конт</w:t>
      </w:r>
      <w:r>
        <w:rPr>
          <w:sz w:val="26"/>
          <w:szCs w:val="26"/>
        </w:rPr>
        <w:t>ролю облдержадміністрації, управління з питань звернень громадян та доступу до публічної інформації облдержадміністрації, управління запобігання та виявлення корупції облдержадміністрації на тему «Дотримання законодавства щодо нерозголошення інформації про</w:t>
      </w:r>
      <w:r>
        <w:rPr>
          <w:sz w:val="26"/>
          <w:szCs w:val="26"/>
        </w:rPr>
        <w:t xml:space="preserve"> викривача (дотримання конфіденційності) з працівниками, що здійснюють реєстрацію повідомлення».</w:t>
      </w:r>
    </w:p>
    <w:p w:rsidR="00754494" w:rsidRDefault="00102923">
      <w:pPr>
        <w:pStyle w:val="a3"/>
        <w:ind w:right="141" w:firstLine="706"/>
        <w:jc w:val="both"/>
        <w:rPr>
          <w:rFonts w:ascii="Times New Roman" w:hAnsi="Times New Roman"/>
          <w:sz w:val="26"/>
          <w:szCs w:val="26"/>
        </w:rPr>
      </w:pPr>
      <w:r>
        <w:rPr>
          <w:rFonts w:ascii="Times New Roman" w:hAnsi="Times New Roman"/>
          <w:sz w:val="26"/>
          <w:szCs w:val="26"/>
        </w:rPr>
        <w:t xml:space="preserve">Після кожного проведення семінару проведено тестування слухачів на                перевірку знань за  темою семінару.  </w:t>
      </w:r>
    </w:p>
    <w:p w:rsidR="00754494" w:rsidRDefault="00102923">
      <w:pPr>
        <w:pStyle w:val="a3"/>
        <w:ind w:right="141" w:firstLine="706"/>
        <w:jc w:val="both"/>
        <w:rPr>
          <w:rFonts w:ascii="Times New Roman" w:hAnsi="Times New Roman"/>
          <w:sz w:val="26"/>
          <w:szCs w:val="26"/>
        </w:rPr>
      </w:pPr>
      <w:r>
        <w:rPr>
          <w:rFonts w:ascii="Times New Roman" w:hAnsi="Times New Roman"/>
          <w:sz w:val="26"/>
          <w:szCs w:val="26"/>
        </w:rPr>
        <w:t>Всього протягом першого кварталу 2021 р</w:t>
      </w:r>
      <w:r>
        <w:rPr>
          <w:rFonts w:ascii="Times New Roman" w:hAnsi="Times New Roman"/>
          <w:sz w:val="26"/>
          <w:szCs w:val="26"/>
        </w:rPr>
        <w:t>оку проведено 21 навчальний                    семінар.</w:t>
      </w:r>
    </w:p>
    <w:p w:rsidR="00754494" w:rsidRDefault="00102923">
      <w:pPr>
        <w:pStyle w:val="a3"/>
        <w:ind w:right="141" w:firstLine="706"/>
        <w:jc w:val="both"/>
      </w:pPr>
      <w:r>
        <w:rPr>
          <w:rFonts w:ascii="Times New Roman" w:hAnsi="Times New Roman"/>
          <w:sz w:val="26"/>
          <w:szCs w:val="26"/>
        </w:rPr>
        <w:t>Забезпечено надання консультативної допомоги</w:t>
      </w:r>
      <w:r>
        <w:rPr>
          <w:sz w:val="26"/>
          <w:szCs w:val="26"/>
        </w:rPr>
        <w:t xml:space="preserve"> </w:t>
      </w:r>
      <w:r>
        <w:rPr>
          <w:rFonts w:ascii="Times New Roman" w:hAnsi="Times New Roman"/>
          <w:sz w:val="26"/>
          <w:szCs w:val="26"/>
        </w:rPr>
        <w:t>з питань додержання                        законодавства щодо запобігання корупції, зокрема в заповненні декларації особи,   уповноваженої на виконання фун</w:t>
      </w:r>
      <w:r>
        <w:rPr>
          <w:rFonts w:ascii="Times New Roman" w:hAnsi="Times New Roman"/>
          <w:sz w:val="26"/>
          <w:szCs w:val="26"/>
        </w:rPr>
        <w:t>кцій держави або місцевого  самоврядування,                  повідомлення про суттєві зміни в майновому стані, повідомлення про відкриття          валютного рахунку. Всього надано 146  консультацій.</w:t>
      </w:r>
    </w:p>
    <w:p w:rsidR="00754494" w:rsidRDefault="00102923">
      <w:pPr>
        <w:pStyle w:val="a3"/>
        <w:ind w:right="141" w:firstLine="706"/>
        <w:jc w:val="both"/>
        <w:rPr>
          <w:rFonts w:ascii="Times New Roman" w:hAnsi="Times New Roman"/>
          <w:sz w:val="26"/>
          <w:szCs w:val="26"/>
        </w:rPr>
      </w:pPr>
      <w:r>
        <w:rPr>
          <w:rFonts w:ascii="Times New Roman" w:hAnsi="Times New Roman"/>
          <w:sz w:val="26"/>
          <w:szCs w:val="26"/>
        </w:rPr>
        <w:t>Проведено 13 інструктажів з працівниками апарату та струк</w:t>
      </w:r>
      <w:r>
        <w:rPr>
          <w:rFonts w:ascii="Times New Roman" w:hAnsi="Times New Roman"/>
          <w:sz w:val="26"/>
          <w:szCs w:val="26"/>
        </w:rPr>
        <w:t>турних підрозділів облдержадміністрації, що призначаються та звільняються.</w:t>
      </w:r>
    </w:p>
    <w:p w:rsidR="00754494" w:rsidRDefault="00102923">
      <w:pPr>
        <w:pStyle w:val="a3"/>
        <w:ind w:right="141" w:firstLine="706"/>
        <w:jc w:val="both"/>
        <w:rPr>
          <w:rFonts w:ascii="Times New Roman" w:hAnsi="Times New Roman"/>
          <w:sz w:val="26"/>
          <w:szCs w:val="26"/>
        </w:rPr>
      </w:pPr>
      <w:r>
        <w:rPr>
          <w:rFonts w:ascii="Times New Roman" w:hAnsi="Times New Roman"/>
          <w:sz w:val="26"/>
          <w:szCs w:val="26"/>
        </w:rPr>
        <w:t xml:space="preserve">Щомісячно розробляються пам’ятки щодо дотримання вимог                                     антикорупційного законодавства, розміщується на офіційному вебсайі                        </w:t>
      </w:r>
      <w:r>
        <w:rPr>
          <w:rFonts w:ascii="Times New Roman" w:hAnsi="Times New Roman"/>
          <w:sz w:val="26"/>
          <w:szCs w:val="26"/>
        </w:rPr>
        <w:t xml:space="preserve">         облдержадміністрації, направляються керівникам апарату та структурних підрозділів                    </w:t>
      </w:r>
      <w:r>
        <w:rPr>
          <w:rFonts w:ascii="Times New Roman" w:hAnsi="Times New Roman"/>
          <w:sz w:val="26"/>
          <w:szCs w:val="26"/>
        </w:rPr>
        <w:lastRenderedPageBreak/>
        <w:t>облдержадміністрації,  підприємствам, установам та організаціям, повноваження з    управління якими здійснює облдержадміністрація.</w:t>
      </w:r>
    </w:p>
    <w:p w:rsidR="00754494" w:rsidRDefault="00102923">
      <w:pPr>
        <w:pStyle w:val="a3"/>
        <w:ind w:right="141" w:firstLine="706"/>
        <w:jc w:val="both"/>
        <w:rPr>
          <w:rFonts w:ascii="Times New Roman" w:hAnsi="Times New Roman"/>
          <w:sz w:val="26"/>
          <w:szCs w:val="26"/>
        </w:rPr>
      </w:pPr>
      <w:r>
        <w:rPr>
          <w:rFonts w:ascii="Times New Roman" w:hAnsi="Times New Roman"/>
          <w:sz w:val="26"/>
          <w:szCs w:val="26"/>
        </w:rPr>
        <w:t xml:space="preserve"> Забезпечено по</w:t>
      </w:r>
      <w:r>
        <w:rPr>
          <w:rFonts w:ascii="Times New Roman" w:hAnsi="Times New Roman"/>
          <w:sz w:val="26"/>
          <w:szCs w:val="26"/>
        </w:rPr>
        <w:t>передження під підпис представників  громадських об’єднань, наукових  установ, навчальних закладів, експертів відповідної кваліфікації, інших осіб, які входять до складу конкурсних та дисциплінарних комісій, утворених              відповідно до Закону Укра</w:t>
      </w:r>
      <w:r>
        <w:rPr>
          <w:rFonts w:ascii="Times New Roman" w:hAnsi="Times New Roman"/>
          <w:sz w:val="26"/>
          <w:szCs w:val="26"/>
        </w:rPr>
        <w:t>їни «Про державну службу» при призначенні членами         відповідних комісій про обов’язок подання декларації за минулий рік протягом десяти  календарних днів після входження (включення, залучення, обрання призначення) до складу відповідної комісії. Протя</w:t>
      </w:r>
      <w:r>
        <w:rPr>
          <w:rFonts w:ascii="Times New Roman" w:hAnsi="Times New Roman"/>
          <w:sz w:val="26"/>
          <w:szCs w:val="26"/>
        </w:rPr>
        <w:t>гом трьох місяців попереджено одного представника громадських об’єднань перед включенням до складу конкурсної комісії.</w:t>
      </w:r>
    </w:p>
    <w:p w:rsidR="00754494" w:rsidRDefault="00102923">
      <w:pPr>
        <w:pStyle w:val="a3"/>
        <w:ind w:right="141" w:firstLine="706"/>
        <w:jc w:val="both"/>
      </w:pPr>
      <w:r>
        <w:rPr>
          <w:rFonts w:ascii="Times New Roman" w:hAnsi="Times New Roman"/>
          <w:sz w:val="26"/>
          <w:szCs w:val="26"/>
        </w:rPr>
        <w:t>Організовано подання суб'єктами декларування облдержадміністрації                  декларацій за 2020 рік.</w:t>
      </w:r>
      <w:r>
        <w:rPr>
          <w:sz w:val="26"/>
          <w:szCs w:val="26"/>
        </w:rPr>
        <w:t xml:space="preserve"> </w:t>
      </w:r>
      <w:r>
        <w:rPr>
          <w:rFonts w:ascii="Times New Roman" w:hAnsi="Times New Roman"/>
          <w:sz w:val="26"/>
          <w:szCs w:val="26"/>
        </w:rPr>
        <w:t>Проведено перевірку факту пода</w:t>
      </w:r>
      <w:r>
        <w:rPr>
          <w:rFonts w:ascii="Times New Roman" w:hAnsi="Times New Roman"/>
          <w:sz w:val="26"/>
          <w:szCs w:val="26"/>
        </w:rPr>
        <w:t>ння суб’єктами декларування, які працюють в облдержадміністрації (працювали або входять чи входили до складу утвореної в облдержадміністрації конкурсної комісії), відповідно до частини першої статті 51</w:t>
      </w:r>
      <w:r>
        <w:rPr>
          <w:rFonts w:ascii="Times New Roman" w:hAnsi="Times New Roman"/>
          <w:sz w:val="26"/>
          <w:szCs w:val="26"/>
          <w:vertAlign w:val="superscript"/>
        </w:rPr>
        <w:t>2</w:t>
      </w:r>
      <w:r>
        <w:rPr>
          <w:rFonts w:ascii="Times New Roman" w:hAnsi="Times New Roman"/>
          <w:sz w:val="26"/>
          <w:szCs w:val="26"/>
        </w:rPr>
        <w:t xml:space="preserve"> Закону України «Про запобігання корупції» та </w:t>
      </w:r>
      <w:r>
        <w:rPr>
          <w:rFonts w:ascii="Times New Roman" w:hAnsi="Times New Roman"/>
          <w:sz w:val="26"/>
          <w:szCs w:val="26"/>
        </w:rPr>
        <w:t xml:space="preserve">повідомлення Національного агентства з питань запобігання корупції про випадки неподання чи несвоєчасного      подання таких декларацій у визначеному законодавством порядку. До Національного агентства з питань запобігання корупції направлено 8 повідомлень </w:t>
      </w:r>
      <w:r>
        <w:rPr>
          <w:rFonts w:ascii="Times New Roman" w:hAnsi="Times New Roman"/>
          <w:sz w:val="26"/>
          <w:szCs w:val="26"/>
        </w:rPr>
        <w:t>про факти                порушень вимог фінансового контролю працівниками та колишніми працівниками                            облдержадміністрації (неподання та несвоєчасне подання щорічних  декларацій).</w:t>
      </w:r>
    </w:p>
    <w:p w:rsidR="00754494" w:rsidRDefault="00102923">
      <w:pPr>
        <w:pStyle w:val="a3"/>
        <w:ind w:right="141" w:firstLine="706"/>
        <w:jc w:val="both"/>
      </w:pPr>
      <w:r>
        <w:rPr>
          <w:rFonts w:ascii="Times New Roman" w:hAnsi="Times New Roman"/>
          <w:sz w:val="26"/>
          <w:szCs w:val="26"/>
        </w:rPr>
        <w:t>Забезпечено систематичне проведення аналізу діяльно</w:t>
      </w:r>
      <w:r>
        <w:rPr>
          <w:rFonts w:ascii="Times New Roman" w:hAnsi="Times New Roman"/>
          <w:sz w:val="26"/>
          <w:szCs w:val="26"/>
        </w:rPr>
        <w:t>сті 26 потенційних та           наявних контрагентів  облдержадміністрації та її структурних підрозділів. Здійснено заходи з виявлення конфлікту інтересів. Протягом кварталу виявлено три                            потенційних та один реальний конфлікти інт</w:t>
      </w:r>
      <w:r>
        <w:rPr>
          <w:rFonts w:ascii="Times New Roman" w:hAnsi="Times New Roman"/>
          <w:sz w:val="26"/>
          <w:szCs w:val="26"/>
        </w:rPr>
        <w:t>ересів. Забезпечено їх врегулюванню,     інформовано голову облдержадміністрації та Національне агентство з питань запобігання корупції  про виявлення потенційних конфліктів інтересів та заходи, вжиті для їх врегулювання</w:t>
      </w:r>
      <w:r>
        <w:rPr>
          <w:rFonts w:ascii="Times New Roman" w:hAnsi="Times New Roman"/>
          <w:color w:val="FF0000"/>
          <w:sz w:val="26"/>
          <w:szCs w:val="26"/>
        </w:rPr>
        <w:t xml:space="preserve">. </w:t>
      </w:r>
      <w:r>
        <w:rPr>
          <w:rFonts w:ascii="Times New Roman" w:hAnsi="Times New Roman"/>
          <w:sz w:val="26"/>
          <w:szCs w:val="26"/>
        </w:rPr>
        <w:t>Матеріали стосовно реального конфл</w:t>
      </w:r>
      <w:r>
        <w:rPr>
          <w:rFonts w:ascii="Times New Roman" w:hAnsi="Times New Roman"/>
          <w:sz w:val="26"/>
          <w:szCs w:val="26"/>
        </w:rPr>
        <w:t>ікту інтересів направлено до спеціально уповноваженого суб’єкту у сфері протидії корупції.</w:t>
      </w:r>
    </w:p>
    <w:p w:rsidR="00754494" w:rsidRDefault="00102923">
      <w:pPr>
        <w:pStyle w:val="a3"/>
        <w:ind w:right="141" w:firstLine="706"/>
        <w:jc w:val="both"/>
        <w:rPr>
          <w:rFonts w:ascii="Times New Roman" w:hAnsi="Times New Roman"/>
          <w:sz w:val="26"/>
          <w:szCs w:val="26"/>
        </w:rPr>
      </w:pPr>
      <w:r>
        <w:rPr>
          <w:rFonts w:ascii="Times New Roman" w:hAnsi="Times New Roman"/>
          <w:sz w:val="26"/>
          <w:szCs w:val="26"/>
        </w:rPr>
        <w:t>Забезпечено контроль за виконанням вимог антикорупційного законодавства в частині утворення та діяльності уповноважених підрозділів (уповноважених осіб) з питань зап</w:t>
      </w:r>
      <w:r>
        <w:rPr>
          <w:rFonts w:ascii="Times New Roman" w:hAnsi="Times New Roman"/>
          <w:sz w:val="26"/>
          <w:szCs w:val="26"/>
        </w:rPr>
        <w:t>обігання та виявлення корупції на підприємствах, установах та                        організаціях, управління якими здійснює облдержадміністрація, шляхом проведення моніторингу та аналізу роботи  уповноважених, проведення перевірок, складення       довідок</w:t>
      </w:r>
      <w:r>
        <w:rPr>
          <w:rFonts w:ascii="Times New Roman" w:hAnsi="Times New Roman"/>
          <w:sz w:val="26"/>
          <w:szCs w:val="26"/>
        </w:rPr>
        <w:t xml:space="preserve"> за результатами перевірок з наданням  рекомендацій, методичної та                     консультативної допомоги.</w:t>
      </w:r>
    </w:p>
    <w:p w:rsidR="00754494" w:rsidRDefault="00102923">
      <w:pPr>
        <w:pStyle w:val="a3"/>
        <w:ind w:right="141" w:firstLine="706"/>
        <w:jc w:val="both"/>
        <w:rPr>
          <w:rFonts w:ascii="Times New Roman" w:hAnsi="Times New Roman"/>
          <w:sz w:val="26"/>
          <w:szCs w:val="26"/>
        </w:rPr>
      </w:pPr>
      <w:r>
        <w:rPr>
          <w:rFonts w:ascii="Times New Roman" w:hAnsi="Times New Roman"/>
          <w:sz w:val="26"/>
          <w:szCs w:val="26"/>
        </w:rPr>
        <w:t xml:space="preserve">Забезпечено систематичне проведення роз’яснювально-консультативної           роботи серед уповноважених осіб з питань запобігання та виявлення </w:t>
      </w:r>
      <w:r>
        <w:rPr>
          <w:rFonts w:ascii="Times New Roman" w:hAnsi="Times New Roman"/>
          <w:sz w:val="26"/>
          <w:szCs w:val="26"/>
        </w:rPr>
        <w:t>корупції                    підприємств, установ та організацій, повноваження з управління якими здійснює     облдержадміністрація.</w:t>
      </w:r>
    </w:p>
    <w:p w:rsidR="00754494" w:rsidRDefault="00102923">
      <w:pPr>
        <w:pStyle w:val="a3"/>
        <w:ind w:right="141" w:firstLine="706"/>
        <w:jc w:val="both"/>
      </w:pPr>
      <w:r>
        <w:rPr>
          <w:rFonts w:ascii="Times New Roman" w:hAnsi="Times New Roman"/>
          <w:sz w:val="26"/>
          <w:szCs w:val="26"/>
        </w:rPr>
        <w:t>З метою виявлення причин та умов, що призвели до вчинення корупційного або              пов'язаного з корупцією правопорушен</w:t>
      </w:r>
      <w:r>
        <w:rPr>
          <w:rFonts w:ascii="Times New Roman" w:hAnsi="Times New Roman"/>
          <w:sz w:val="26"/>
          <w:szCs w:val="26"/>
        </w:rPr>
        <w:t>ня, або невиконання вимог Закону в інший     спосіб, прийнято участь у проведенні службового розслідування  стосовно</w:t>
      </w:r>
      <w:r>
        <w:t xml:space="preserve">                          </w:t>
      </w:r>
      <w:r>
        <w:rPr>
          <w:rFonts w:ascii="Times New Roman" w:hAnsi="Times New Roman"/>
          <w:sz w:val="26"/>
          <w:szCs w:val="26"/>
        </w:rPr>
        <w:t>врегулювання конфлікту інтересів у регіональному ландшафтному парку «Клебан-Бик»</w:t>
      </w:r>
      <w:r>
        <w:t xml:space="preserve"> </w:t>
      </w:r>
      <w:r>
        <w:rPr>
          <w:rFonts w:ascii="Times New Roman" w:hAnsi="Times New Roman"/>
          <w:sz w:val="26"/>
          <w:szCs w:val="26"/>
        </w:rPr>
        <w:t>за скаргою начальника відділу рек</w:t>
      </w:r>
      <w:r>
        <w:rPr>
          <w:rFonts w:ascii="Times New Roman" w:hAnsi="Times New Roman"/>
          <w:sz w:val="26"/>
          <w:szCs w:val="26"/>
        </w:rPr>
        <w:t xml:space="preserve">реації та екологічної освіти зазначеного парку. </w:t>
      </w:r>
    </w:p>
    <w:p w:rsidR="00754494" w:rsidRDefault="00102923">
      <w:pPr>
        <w:pStyle w:val="a3"/>
        <w:ind w:right="141" w:firstLine="706"/>
        <w:jc w:val="both"/>
        <w:rPr>
          <w:rFonts w:ascii="Times New Roman" w:hAnsi="Times New Roman"/>
          <w:sz w:val="26"/>
          <w:szCs w:val="26"/>
        </w:rPr>
      </w:pPr>
      <w:r>
        <w:rPr>
          <w:rFonts w:ascii="Times New Roman" w:hAnsi="Times New Roman"/>
          <w:sz w:val="26"/>
          <w:szCs w:val="26"/>
        </w:rPr>
        <w:t xml:space="preserve">За результатами проведення службового розслідування поінформовано            спеціально уповноважений суб’єкт у сфері протидії корупції. </w:t>
      </w:r>
    </w:p>
    <w:p w:rsidR="00754494" w:rsidRDefault="00102923">
      <w:pPr>
        <w:pStyle w:val="a3"/>
        <w:ind w:right="141" w:firstLine="706"/>
        <w:jc w:val="both"/>
        <w:rPr>
          <w:rFonts w:ascii="Times New Roman" w:hAnsi="Times New Roman"/>
          <w:sz w:val="26"/>
          <w:szCs w:val="26"/>
        </w:rPr>
      </w:pPr>
      <w:r>
        <w:rPr>
          <w:rFonts w:ascii="Times New Roman" w:hAnsi="Times New Roman"/>
          <w:sz w:val="26"/>
          <w:szCs w:val="26"/>
        </w:rPr>
        <w:t>Забезпечено здійснення контролю за направленням управлінням кадрового</w:t>
      </w:r>
      <w:r>
        <w:rPr>
          <w:rFonts w:ascii="Times New Roman" w:hAnsi="Times New Roman"/>
          <w:sz w:val="26"/>
          <w:szCs w:val="26"/>
        </w:rPr>
        <w:t xml:space="preserve">       забезпечення та з питань нагород облдержадміністрації та кадрових служб                       </w:t>
      </w:r>
      <w:r>
        <w:rPr>
          <w:rFonts w:ascii="Times New Roman" w:hAnsi="Times New Roman"/>
          <w:sz w:val="26"/>
          <w:szCs w:val="26"/>
        </w:rPr>
        <w:lastRenderedPageBreak/>
        <w:t>структурних підрозділів облдержадміністрації завіреної паперової копії наказу про накладення дисциплінарного стягнення та інформаційної картки до наказу до</w:t>
      </w:r>
      <w:r>
        <w:rPr>
          <w:rFonts w:ascii="Times New Roman" w:hAnsi="Times New Roman"/>
          <w:sz w:val="26"/>
          <w:szCs w:val="26"/>
        </w:rPr>
        <w:t xml:space="preserve">                   Національного агентства з питань запобігання корупції стосовно працівника за               вчинення корупційного або пов'язаного з корупцією правопорушення.</w:t>
      </w:r>
    </w:p>
    <w:p w:rsidR="00754494" w:rsidRDefault="00102923">
      <w:pPr>
        <w:pStyle w:val="a3"/>
        <w:ind w:right="141" w:firstLine="706"/>
        <w:jc w:val="both"/>
        <w:rPr>
          <w:rFonts w:ascii="Times New Roman" w:hAnsi="Times New Roman"/>
          <w:sz w:val="26"/>
          <w:szCs w:val="26"/>
        </w:rPr>
      </w:pPr>
      <w:r>
        <w:rPr>
          <w:rFonts w:ascii="Times New Roman" w:hAnsi="Times New Roman"/>
          <w:sz w:val="26"/>
          <w:szCs w:val="26"/>
        </w:rPr>
        <w:t>Забезпечено ведення обліку працівників облдержадміністрації, притягнутих до відп</w:t>
      </w:r>
      <w:r>
        <w:rPr>
          <w:rFonts w:ascii="Times New Roman" w:hAnsi="Times New Roman"/>
          <w:sz w:val="26"/>
          <w:szCs w:val="26"/>
        </w:rPr>
        <w:t>овідальності за вчинення корупційних правопорушень або правопорушень,          пов'язаних з корупцією.</w:t>
      </w:r>
    </w:p>
    <w:p w:rsidR="00754494" w:rsidRDefault="00102923">
      <w:pPr>
        <w:pStyle w:val="a3"/>
        <w:ind w:right="141" w:firstLine="706"/>
        <w:jc w:val="both"/>
        <w:rPr>
          <w:rFonts w:ascii="Times New Roman" w:hAnsi="Times New Roman"/>
          <w:sz w:val="26"/>
          <w:szCs w:val="26"/>
        </w:rPr>
      </w:pPr>
      <w:r>
        <w:rPr>
          <w:rFonts w:ascii="Times New Roman" w:hAnsi="Times New Roman"/>
          <w:sz w:val="26"/>
          <w:szCs w:val="26"/>
        </w:rPr>
        <w:t>Забезпечено ведення обліку повідомлень про корупцію, внесеними                           викривачами.</w:t>
      </w:r>
    </w:p>
    <w:p w:rsidR="00754494" w:rsidRDefault="00102923">
      <w:pPr>
        <w:pStyle w:val="a3"/>
        <w:ind w:right="141" w:firstLine="706"/>
        <w:jc w:val="both"/>
      </w:pPr>
      <w:r>
        <w:rPr>
          <w:rFonts w:ascii="Times New Roman" w:hAnsi="Times New Roman"/>
          <w:sz w:val="26"/>
          <w:szCs w:val="26"/>
        </w:rPr>
        <w:t>Проведено аналіз роботи із повідомленнями про коруп</w:t>
      </w:r>
      <w:r>
        <w:rPr>
          <w:rFonts w:ascii="Times New Roman" w:hAnsi="Times New Roman"/>
          <w:sz w:val="26"/>
          <w:szCs w:val="26"/>
        </w:rPr>
        <w:t xml:space="preserve">цію, внесеними                      викривачами про порушення вимог Закону України «Про запобігання корупції»                   за </w:t>
      </w:r>
      <w:r>
        <w:rPr>
          <w:rFonts w:ascii="Times New Roman" w:hAnsi="Times New Roman"/>
          <w:sz w:val="26"/>
          <w:szCs w:val="26"/>
          <w:lang w:val="en-US"/>
        </w:rPr>
        <w:t>I</w:t>
      </w:r>
      <w:r>
        <w:rPr>
          <w:rFonts w:ascii="Times New Roman" w:hAnsi="Times New Roman"/>
          <w:sz w:val="26"/>
          <w:szCs w:val="26"/>
        </w:rPr>
        <w:t xml:space="preserve"> квартал 2021 року. За результатами проведеного аналізу підготовлено доповідну записку та доведено керівництву.</w:t>
      </w:r>
    </w:p>
    <w:p w:rsidR="00754494" w:rsidRDefault="00102923">
      <w:pPr>
        <w:pStyle w:val="a3"/>
        <w:ind w:right="141" w:firstLine="706"/>
        <w:jc w:val="both"/>
        <w:rPr>
          <w:rFonts w:ascii="Times New Roman" w:hAnsi="Times New Roman"/>
          <w:sz w:val="26"/>
          <w:szCs w:val="26"/>
        </w:rPr>
      </w:pPr>
      <w:r>
        <w:rPr>
          <w:rFonts w:ascii="Times New Roman" w:hAnsi="Times New Roman"/>
          <w:sz w:val="26"/>
          <w:szCs w:val="26"/>
        </w:rPr>
        <w:t>Протягом 3 м</w:t>
      </w:r>
      <w:r>
        <w:rPr>
          <w:rFonts w:ascii="Times New Roman" w:hAnsi="Times New Roman"/>
          <w:sz w:val="26"/>
          <w:szCs w:val="26"/>
        </w:rPr>
        <w:t>ісяців 2021 року управлінням розглянуто 1 повідомлення                викривача щодо можливого вчинення корупційних або пов’язаних з корупцією         правопорушень з боку керівництва ДНЗ «Бахмутський коледж професійно - технічної освіти». В процесі розгля</w:t>
      </w:r>
      <w:r>
        <w:rPr>
          <w:rFonts w:ascii="Times New Roman" w:hAnsi="Times New Roman"/>
          <w:sz w:val="26"/>
          <w:szCs w:val="26"/>
        </w:rPr>
        <w:t>ду вказаного повідомлення спільно з департаментом освіти і науки облдержадміністрації проведено вивчення та аналіз документації ДНЗ  «Бахмутський коледж професійно-технічної освіти». А ході проведення перевірки порушень антикорупційного законодавства з бок</w:t>
      </w:r>
      <w:r>
        <w:rPr>
          <w:rFonts w:ascii="Times New Roman" w:hAnsi="Times New Roman"/>
          <w:sz w:val="26"/>
          <w:szCs w:val="26"/>
        </w:rPr>
        <w:t>у керівництва навчального закладу не встановлено.</w:t>
      </w:r>
    </w:p>
    <w:p w:rsidR="00754494" w:rsidRDefault="00102923">
      <w:pPr>
        <w:pStyle w:val="a3"/>
        <w:ind w:right="141" w:firstLine="706"/>
        <w:jc w:val="both"/>
      </w:pPr>
      <w:r>
        <w:rPr>
          <w:rFonts w:ascii="Times New Roman" w:hAnsi="Times New Roman"/>
          <w:sz w:val="26"/>
          <w:szCs w:val="26"/>
        </w:rPr>
        <w:t>Забезпечено доступ громадян до інформації щодо можливостей повідомити про можливі факти корупційних правопорушень або правопорушень, пов’язаних з            корупцією та гарантії захисту викривачів шляхом п</w:t>
      </w:r>
      <w:r>
        <w:rPr>
          <w:rFonts w:ascii="Times New Roman" w:hAnsi="Times New Roman"/>
          <w:sz w:val="26"/>
          <w:szCs w:val="26"/>
        </w:rPr>
        <w:t>ублікації інформації на                     офіційному вебсайті облдержадміністрації, направлення відповідних пам’яток         структурним підрозділам облдержадміністрації, підприємствам, установам та                 організаціям, повноваження з управління</w:t>
      </w:r>
      <w:r>
        <w:rPr>
          <w:rFonts w:ascii="Times New Roman" w:hAnsi="Times New Roman"/>
          <w:sz w:val="26"/>
          <w:szCs w:val="26"/>
        </w:rPr>
        <w:t xml:space="preserve"> якими здійснює облдержадміністрація,               проведення навчальних семінарів, розміщення інформації на інформаційних стендах, що знаходяться у приміщеннях апарату та структурних підрозділів                                      облдержадміністрації, </w:t>
      </w:r>
      <w:r>
        <w:rPr>
          <w:rFonts w:ascii="Times New Roman" w:hAnsi="Times New Roman"/>
          <w:sz w:val="26"/>
          <w:szCs w:val="26"/>
        </w:rPr>
        <w:t xml:space="preserve">ведення обліку повідомлень про корупцію, внесених                         викривачами.  </w:t>
      </w:r>
    </w:p>
    <w:p w:rsidR="00754494" w:rsidRDefault="00102923">
      <w:pPr>
        <w:pStyle w:val="a3"/>
        <w:ind w:right="141" w:firstLine="706"/>
        <w:jc w:val="both"/>
        <w:rPr>
          <w:rFonts w:ascii="Times New Roman" w:hAnsi="Times New Roman"/>
          <w:sz w:val="26"/>
          <w:szCs w:val="26"/>
        </w:rPr>
      </w:pPr>
      <w:r>
        <w:rPr>
          <w:rFonts w:ascii="Times New Roman" w:hAnsi="Times New Roman"/>
          <w:sz w:val="26"/>
          <w:szCs w:val="26"/>
        </w:rPr>
        <w:t xml:space="preserve">На офіційному веб-сайті облдержадміністрації забезпечено ведення рубрики  «Повідом про корупцію». В рубриці «Запобігання та виявлення корупції»                        </w:t>
      </w:r>
      <w:r>
        <w:rPr>
          <w:rFonts w:ascii="Times New Roman" w:hAnsi="Times New Roman"/>
          <w:sz w:val="26"/>
          <w:szCs w:val="26"/>
        </w:rPr>
        <w:t>висвітлюється інформація, що стосується запобігання та виявлення корупції в                  облдержадміністрації, інформується громадськість про результати проведених                  заходів антикорупційного спрямування: канали повідомлення про корупцію,</w:t>
      </w:r>
      <w:r>
        <w:rPr>
          <w:rFonts w:ascii="Times New Roman" w:hAnsi="Times New Roman"/>
          <w:sz w:val="26"/>
          <w:szCs w:val="26"/>
        </w:rPr>
        <w:t xml:space="preserve">                   співпраця з викривачами, нормативно-правові акти, що стосується організації роботи із запобігання корупції в облдержадміністрації, плани роботи та звіти про їх                 виконання, пам’ятки щодо дотримання антикорупційного законода</w:t>
      </w:r>
      <w:r>
        <w:rPr>
          <w:rFonts w:ascii="Times New Roman" w:hAnsi="Times New Roman"/>
          <w:sz w:val="26"/>
          <w:szCs w:val="26"/>
        </w:rPr>
        <w:t>вства, робота        комісії з оцінки корупційних ризиків у діяльності облдержадміністрації та її                      структурних підрозділів тощо.  Також розміщено інформацію про початок оцінки            корупційних ризиків з метою залучення представник</w:t>
      </w:r>
      <w:r>
        <w:rPr>
          <w:rFonts w:ascii="Times New Roman" w:hAnsi="Times New Roman"/>
          <w:sz w:val="26"/>
          <w:szCs w:val="26"/>
        </w:rPr>
        <w:t>ів громадськості до проведення оцінки корупційних ризиків.</w:t>
      </w:r>
    </w:p>
    <w:p w:rsidR="00754494" w:rsidRDefault="00102923">
      <w:pPr>
        <w:widowControl/>
        <w:tabs>
          <w:tab w:val="left" w:pos="9639"/>
        </w:tabs>
        <w:ind w:right="141" w:firstLine="567"/>
        <w:jc w:val="both"/>
      </w:pPr>
      <w:r>
        <w:rPr>
          <w:sz w:val="26"/>
          <w:szCs w:val="26"/>
        </w:rPr>
        <w:t>П</w:t>
      </w:r>
      <w:r>
        <w:rPr>
          <w:rFonts w:cs="Times New Roman"/>
          <w:sz w:val="26"/>
          <w:szCs w:val="26"/>
        </w:rPr>
        <w:t xml:space="preserve">роведено 5 перевірок організації роботи щодо дотримання положень  Закону України «Про запобігання корупції»: в комунальному підприємстві «Автотранспортне підприємство», Регіональному ландшафтному </w:t>
      </w:r>
      <w:r>
        <w:rPr>
          <w:rFonts w:cs="Times New Roman"/>
          <w:sz w:val="26"/>
          <w:szCs w:val="26"/>
        </w:rPr>
        <w:t xml:space="preserve">парку «Краматорський», комунальному некомерційному підприємстві «Медичний центр з профілактики та лікування залежності м. Краматорськ», Обласній дитячо-юнацькій спортивній школі </w:t>
      </w:r>
      <w:r>
        <w:rPr>
          <w:rFonts w:cs="Times New Roman"/>
          <w:sz w:val="26"/>
          <w:szCs w:val="26"/>
        </w:rPr>
        <w:lastRenderedPageBreak/>
        <w:t>для дітей-сиріт та дітей, які залишились без піклування батьків», Краматорсько</w:t>
      </w:r>
      <w:r>
        <w:rPr>
          <w:rFonts w:cs="Times New Roman"/>
          <w:sz w:val="26"/>
          <w:szCs w:val="26"/>
        </w:rPr>
        <w:t>му навчально-реабілітаційному центрі «Гайок».</w:t>
      </w:r>
    </w:p>
    <w:p w:rsidR="00754494" w:rsidRDefault="00102923">
      <w:pPr>
        <w:ind w:right="141" w:firstLine="706"/>
        <w:jc w:val="both"/>
      </w:pPr>
      <w:r>
        <w:rPr>
          <w:sz w:val="26"/>
          <w:szCs w:val="26"/>
        </w:rPr>
        <w:t>Забезпечено постійну участь працівників управління у роботі комісій з проведення службових розслідувань, роботі комісії з питань нагород при  облдержадміністрації, обласній військово-цивільній адміністрації, ко</w:t>
      </w:r>
      <w:r>
        <w:rPr>
          <w:sz w:val="26"/>
          <w:szCs w:val="26"/>
        </w:rPr>
        <w:t>місії по списанню матеріальних цінностей, комісії</w:t>
      </w:r>
      <w:r>
        <w:rPr>
          <w:bCs/>
          <w:sz w:val="26"/>
          <w:szCs w:val="26"/>
        </w:rPr>
        <w:t xml:space="preserve"> з оцінки корупційних ризиків</w:t>
      </w:r>
      <w:r>
        <w:rPr>
          <w:sz w:val="26"/>
          <w:szCs w:val="26"/>
        </w:rPr>
        <w:t xml:space="preserve"> у діяльності облдержадміністрації та її структурних підрозділів, комісії</w:t>
      </w:r>
      <w:r>
        <w:rPr>
          <w:bCs/>
          <w:sz w:val="26"/>
          <w:szCs w:val="26"/>
        </w:rPr>
        <w:t xml:space="preserve"> з питань оцінки вартості, вирішення питання щодо можливості використання, місця та строку зберігання дар</w:t>
      </w:r>
      <w:r>
        <w:rPr>
          <w:bCs/>
          <w:sz w:val="26"/>
          <w:szCs w:val="26"/>
        </w:rPr>
        <w:t>унка як подарунка державі в особі облдержадміністрації, одержаного уповноваженою особою її апарату, комісії з інвентаризації майна в апараті облдержадміністрації.</w:t>
      </w:r>
    </w:p>
    <w:p w:rsidR="00754494" w:rsidRDefault="00754494">
      <w:pPr>
        <w:pStyle w:val="Standard"/>
        <w:ind w:right="141"/>
        <w:jc w:val="both"/>
        <w:rPr>
          <w:rFonts w:cs="Times New Roman"/>
          <w:sz w:val="26"/>
          <w:szCs w:val="26"/>
        </w:rPr>
      </w:pPr>
    </w:p>
    <w:p w:rsidR="00754494" w:rsidRDefault="00102923">
      <w:pPr>
        <w:pStyle w:val="Standard"/>
        <w:ind w:right="141"/>
        <w:jc w:val="both"/>
        <w:rPr>
          <w:rFonts w:cs="Times New Roman"/>
          <w:sz w:val="26"/>
          <w:szCs w:val="26"/>
        </w:rPr>
      </w:pPr>
      <w:r>
        <w:rPr>
          <w:rFonts w:cs="Times New Roman"/>
          <w:sz w:val="26"/>
          <w:szCs w:val="26"/>
        </w:rPr>
        <w:t>Начальник управління</w:t>
      </w:r>
    </w:p>
    <w:p w:rsidR="00754494" w:rsidRDefault="00102923">
      <w:pPr>
        <w:pStyle w:val="Standard"/>
        <w:ind w:right="141"/>
        <w:jc w:val="both"/>
        <w:rPr>
          <w:rFonts w:cs="Times New Roman"/>
          <w:sz w:val="26"/>
          <w:szCs w:val="26"/>
        </w:rPr>
      </w:pPr>
      <w:r>
        <w:rPr>
          <w:rFonts w:cs="Times New Roman"/>
          <w:sz w:val="26"/>
          <w:szCs w:val="26"/>
        </w:rPr>
        <w:t>запобігання та виявлення</w:t>
      </w:r>
    </w:p>
    <w:p w:rsidR="00754494" w:rsidRDefault="00102923">
      <w:pPr>
        <w:pStyle w:val="Standard"/>
        <w:ind w:right="141"/>
        <w:jc w:val="both"/>
        <w:rPr>
          <w:rFonts w:cs="Times New Roman"/>
          <w:sz w:val="26"/>
          <w:szCs w:val="26"/>
        </w:rPr>
      </w:pPr>
      <w:r>
        <w:rPr>
          <w:rFonts w:cs="Times New Roman"/>
          <w:sz w:val="26"/>
          <w:szCs w:val="26"/>
        </w:rPr>
        <w:t>корупції облдержадміністрації</w:t>
      </w:r>
      <w:r>
        <w:rPr>
          <w:rFonts w:cs="Times New Roman"/>
          <w:sz w:val="26"/>
          <w:szCs w:val="26"/>
        </w:rPr>
        <w:tab/>
        <w:t xml:space="preserve">      </w:t>
      </w:r>
      <w:r>
        <w:rPr>
          <w:rFonts w:cs="Times New Roman"/>
          <w:sz w:val="26"/>
          <w:szCs w:val="26"/>
        </w:rPr>
        <w:tab/>
      </w:r>
      <w:r>
        <w:rPr>
          <w:rFonts w:cs="Times New Roman"/>
          <w:sz w:val="26"/>
          <w:szCs w:val="26"/>
        </w:rPr>
        <w:tab/>
      </w:r>
      <w:r>
        <w:rPr>
          <w:rFonts w:cs="Times New Roman"/>
          <w:sz w:val="26"/>
          <w:szCs w:val="26"/>
        </w:rPr>
        <w:tab/>
        <w:t xml:space="preserve">       </w:t>
      </w:r>
      <w:r>
        <w:rPr>
          <w:rFonts w:cs="Times New Roman"/>
          <w:sz w:val="26"/>
          <w:szCs w:val="26"/>
        </w:rPr>
        <w:t xml:space="preserve">                Олег СТАВИЦЬКИЙ</w:t>
      </w:r>
    </w:p>
    <w:p w:rsidR="00754494" w:rsidRDefault="00754494">
      <w:pPr>
        <w:pStyle w:val="Standard"/>
        <w:ind w:right="141"/>
        <w:jc w:val="both"/>
        <w:rPr>
          <w:rFonts w:cs="Times New Roman"/>
          <w:sz w:val="26"/>
          <w:szCs w:val="26"/>
        </w:rPr>
      </w:pPr>
    </w:p>
    <w:p w:rsidR="00754494" w:rsidRDefault="00754494">
      <w:pPr>
        <w:pStyle w:val="Standard"/>
        <w:ind w:right="141"/>
        <w:jc w:val="both"/>
        <w:rPr>
          <w:rFonts w:cs="Times New Roman"/>
          <w:sz w:val="26"/>
          <w:szCs w:val="26"/>
        </w:rPr>
      </w:pPr>
    </w:p>
    <w:p w:rsidR="00754494" w:rsidRDefault="00754494">
      <w:pPr>
        <w:pStyle w:val="Standard"/>
        <w:ind w:firstLine="708"/>
        <w:jc w:val="both"/>
        <w:rPr>
          <w:rFonts w:cs="Times New Roman"/>
          <w:color w:val="FF0000"/>
          <w:sz w:val="26"/>
          <w:szCs w:val="26"/>
        </w:rPr>
      </w:pPr>
    </w:p>
    <w:p w:rsidR="00754494" w:rsidRDefault="00754494">
      <w:pPr>
        <w:pStyle w:val="Standard"/>
        <w:jc w:val="both"/>
        <w:rPr>
          <w:rFonts w:cs="Times New Roman"/>
          <w:color w:val="FF0000"/>
          <w:sz w:val="26"/>
          <w:szCs w:val="26"/>
        </w:rPr>
      </w:pPr>
    </w:p>
    <w:p w:rsidR="00754494" w:rsidRDefault="00754494">
      <w:pPr>
        <w:pStyle w:val="Standard"/>
        <w:jc w:val="both"/>
        <w:rPr>
          <w:rFonts w:cs="Times New Roman"/>
          <w:color w:val="FF0000"/>
          <w:sz w:val="26"/>
          <w:szCs w:val="26"/>
        </w:rPr>
      </w:pPr>
    </w:p>
    <w:p w:rsidR="00754494" w:rsidRDefault="00754494">
      <w:pPr>
        <w:pStyle w:val="Standard"/>
        <w:jc w:val="both"/>
        <w:rPr>
          <w:rFonts w:cs="Times New Roman"/>
          <w:color w:val="FF0000"/>
          <w:sz w:val="26"/>
          <w:szCs w:val="26"/>
        </w:rPr>
      </w:pPr>
    </w:p>
    <w:p w:rsidR="00754494" w:rsidRDefault="00754494">
      <w:pPr>
        <w:pStyle w:val="Standard"/>
        <w:jc w:val="both"/>
        <w:rPr>
          <w:rFonts w:cs="Times New Roman"/>
          <w:color w:val="FF0000"/>
          <w:sz w:val="26"/>
          <w:szCs w:val="26"/>
        </w:rPr>
      </w:pPr>
    </w:p>
    <w:p w:rsidR="00754494" w:rsidRDefault="00754494">
      <w:pPr>
        <w:pStyle w:val="Standard"/>
        <w:jc w:val="both"/>
        <w:rPr>
          <w:rFonts w:cs="Times New Roman"/>
          <w:color w:val="FF0000"/>
          <w:sz w:val="26"/>
          <w:szCs w:val="26"/>
        </w:rPr>
      </w:pPr>
    </w:p>
    <w:p w:rsidR="00754494" w:rsidRDefault="00754494">
      <w:pPr>
        <w:pStyle w:val="Standard"/>
        <w:jc w:val="both"/>
        <w:rPr>
          <w:rFonts w:cs="Times New Roman"/>
          <w:color w:val="FF0000"/>
          <w:sz w:val="26"/>
          <w:szCs w:val="26"/>
        </w:rPr>
      </w:pPr>
    </w:p>
    <w:p w:rsidR="00754494" w:rsidRDefault="00754494">
      <w:pPr>
        <w:pStyle w:val="Standard"/>
        <w:jc w:val="both"/>
        <w:rPr>
          <w:rFonts w:cs="Times New Roman"/>
          <w:color w:val="FF0000"/>
          <w:sz w:val="26"/>
          <w:szCs w:val="26"/>
        </w:rPr>
      </w:pPr>
    </w:p>
    <w:p w:rsidR="00754494" w:rsidRDefault="00754494">
      <w:pPr>
        <w:pStyle w:val="Standard"/>
        <w:jc w:val="both"/>
        <w:rPr>
          <w:rFonts w:cs="Times New Roman"/>
          <w:color w:val="FF0000"/>
          <w:sz w:val="26"/>
          <w:szCs w:val="26"/>
        </w:rPr>
      </w:pPr>
    </w:p>
    <w:p w:rsidR="00754494" w:rsidRDefault="00754494">
      <w:pPr>
        <w:pStyle w:val="Standard"/>
        <w:jc w:val="both"/>
        <w:rPr>
          <w:rFonts w:cs="Times New Roman"/>
          <w:color w:val="FF0000"/>
          <w:sz w:val="26"/>
          <w:szCs w:val="26"/>
        </w:rPr>
      </w:pPr>
    </w:p>
    <w:p w:rsidR="00754494" w:rsidRDefault="00754494">
      <w:pPr>
        <w:pStyle w:val="Standard"/>
        <w:jc w:val="both"/>
        <w:rPr>
          <w:rFonts w:cs="Times New Roman"/>
          <w:color w:val="FF0000"/>
          <w:sz w:val="26"/>
          <w:szCs w:val="26"/>
        </w:rPr>
      </w:pPr>
    </w:p>
    <w:p w:rsidR="00754494" w:rsidRDefault="00754494">
      <w:pPr>
        <w:pStyle w:val="Standard"/>
        <w:jc w:val="both"/>
        <w:rPr>
          <w:rFonts w:cs="Times New Roman"/>
          <w:color w:val="FF0000"/>
          <w:sz w:val="26"/>
          <w:szCs w:val="26"/>
        </w:rPr>
      </w:pPr>
    </w:p>
    <w:p w:rsidR="00754494" w:rsidRDefault="00754494">
      <w:pPr>
        <w:pStyle w:val="Standard"/>
        <w:jc w:val="both"/>
        <w:rPr>
          <w:rFonts w:cs="Times New Roman"/>
          <w:color w:val="FF0000"/>
          <w:sz w:val="26"/>
          <w:szCs w:val="26"/>
        </w:rPr>
      </w:pPr>
    </w:p>
    <w:p w:rsidR="00754494" w:rsidRDefault="00754494">
      <w:pPr>
        <w:pStyle w:val="Standard"/>
        <w:jc w:val="both"/>
        <w:rPr>
          <w:rFonts w:cs="Times New Roman"/>
          <w:color w:val="FF0000"/>
          <w:sz w:val="26"/>
          <w:szCs w:val="26"/>
        </w:rPr>
      </w:pPr>
    </w:p>
    <w:p w:rsidR="00754494" w:rsidRDefault="00754494">
      <w:pPr>
        <w:pStyle w:val="Standard"/>
        <w:jc w:val="both"/>
        <w:rPr>
          <w:rFonts w:cs="Times New Roman"/>
          <w:color w:val="FF0000"/>
          <w:sz w:val="26"/>
          <w:szCs w:val="26"/>
        </w:rPr>
      </w:pPr>
    </w:p>
    <w:p w:rsidR="00754494" w:rsidRDefault="00754494">
      <w:pPr>
        <w:pStyle w:val="Standard"/>
        <w:jc w:val="both"/>
        <w:rPr>
          <w:rFonts w:cs="Times New Roman"/>
          <w:color w:val="FF0000"/>
          <w:sz w:val="26"/>
          <w:szCs w:val="26"/>
        </w:rPr>
      </w:pPr>
    </w:p>
    <w:p w:rsidR="00754494" w:rsidRDefault="00754494">
      <w:pPr>
        <w:pStyle w:val="Standard"/>
        <w:jc w:val="both"/>
        <w:rPr>
          <w:rFonts w:cs="Times New Roman"/>
          <w:color w:val="FF0000"/>
          <w:sz w:val="26"/>
          <w:szCs w:val="26"/>
        </w:rPr>
      </w:pPr>
    </w:p>
    <w:p w:rsidR="00754494" w:rsidRDefault="00754494">
      <w:pPr>
        <w:pStyle w:val="Standard"/>
        <w:jc w:val="both"/>
        <w:rPr>
          <w:rFonts w:cs="Times New Roman"/>
          <w:color w:val="FF0000"/>
          <w:sz w:val="26"/>
          <w:szCs w:val="26"/>
        </w:rPr>
      </w:pPr>
    </w:p>
    <w:p w:rsidR="00754494" w:rsidRDefault="00754494">
      <w:pPr>
        <w:pStyle w:val="Standard"/>
        <w:jc w:val="both"/>
        <w:rPr>
          <w:rFonts w:cs="Times New Roman"/>
          <w:color w:val="FF0000"/>
          <w:sz w:val="26"/>
          <w:szCs w:val="26"/>
        </w:rPr>
      </w:pPr>
    </w:p>
    <w:p w:rsidR="00754494" w:rsidRDefault="00754494">
      <w:pPr>
        <w:pStyle w:val="Standard"/>
        <w:jc w:val="both"/>
        <w:rPr>
          <w:rFonts w:cs="Times New Roman"/>
          <w:color w:val="FF0000"/>
          <w:sz w:val="26"/>
          <w:szCs w:val="26"/>
        </w:rPr>
      </w:pPr>
    </w:p>
    <w:p w:rsidR="00754494" w:rsidRDefault="00754494">
      <w:pPr>
        <w:pStyle w:val="Standard"/>
        <w:jc w:val="both"/>
        <w:rPr>
          <w:rFonts w:cs="Times New Roman"/>
          <w:color w:val="FF0000"/>
          <w:sz w:val="26"/>
          <w:szCs w:val="26"/>
        </w:rPr>
      </w:pPr>
    </w:p>
    <w:p w:rsidR="00754494" w:rsidRDefault="00754494">
      <w:pPr>
        <w:pStyle w:val="Standard"/>
        <w:jc w:val="both"/>
        <w:rPr>
          <w:rFonts w:cs="Times New Roman"/>
          <w:sz w:val="16"/>
          <w:szCs w:val="16"/>
        </w:rPr>
      </w:pPr>
    </w:p>
    <w:p w:rsidR="00754494" w:rsidRDefault="00754494">
      <w:pPr>
        <w:pStyle w:val="Standard"/>
        <w:jc w:val="both"/>
        <w:rPr>
          <w:rFonts w:cs="Times New Roman"/>
          <w:sz w:val="16"/>
          <w:szCs w:val="16"/>
        </w:rPr>
      </w:pPr>
    </w:p>
    <w:p w:rsidR="00754494" w:rsidRDefault="00754494">
      <w:pPr>
        <w:pStyle w:val="Standard"/>
        <w:jc w:val="both"/>
        <w:rPr>
          <w:rFonts w:cs="Times New Roman"/>
          <w:sz w:val="16"/>
          <w:szCs w:val="16"/>
        </w:rPr>
      </w:pPr>
    </w:p>
    <w:p w:rsidR="00754494" w:rsidRDefault="00754494">
      <w:pPr>
        <w:pStyle w:val="Standard"/>
        <w:jc w:val="both"/>
        <w:rPr>
          <w:rFonts w:cs="Times New Roman"/>
          <w:sz w:val="16"/>
          <w:szCs w:val="16"/>
        </w:rPr>
      </w:pPr>
    </w:p>
    <w:p w:rsidR="00754494" w:rsidRDefault="00754494">
      <w:pPr>
        <w:pStyle w:val="Standard"/>
        <w:jc w:val="both"/>
        <w:rPr>
          <w:rFonts w:cs="Times New Roman"/>
          <w:sz w:val="16"/>
          <w:szCs w:val="16"/>
        </w:rPr>
      </w:pPr>
    </w:p>
    <w:p w:rsidR="00754494" w:rsidRDefault="00754494">
      <w:pPr>
        <w:pStyle w:val="Standard"/>
        <w:jc w:val="both"/>
        <w:rPr>
          <w:rFonts w:cs="Times New Roman"/>
          <w:sz w:val="16"/>
          <w:szCs w:val="16"/>
        </w:rPr>
      </w:pPr>
    </w:p>
    <w:p w:rsidR="00754494" w:rsidRDefault="00754494">
      <w:pPr>
        <w:pStyle w:val="Standard"/>
        <w:jc w:val="both"/>
        <w:rPr>
          <w:rFonts w:cs="Times New Roman"/>
          <w:sz w:val="16"/>
          <w:szCs w:val="16"/>
        </w:rPr>
      </w:pPr>
    </w:p>
    <w:p w:rsidR="00754494" w:rsidRDefault="00754494">
      <w:pPr>
        <w:pStyle w:val="Standard"/>
        <w:jc w:val="both"/>
        <w:rPr>
          <w:rFonts w:cs="Times New Roman"/>
          <w:sz w:val="16"/>
          <w:szCs w:val="16"/>
        </w:rPr>
      </w:pPr>
    </w:p>
    <w:p w:rsidR="00754494" w:rsidRDefault="00754494">
      <w:pPr>
        <w:pStyle w:val="Standard"/>
        <w:jc w:val="both"/>
        <w:rPr>
          <w:rFonts w:cs="Times New Roman"/>
          <w:sz w:val="16"/>
          <w:szCs w:val="16"/>
        </w:rPr>
      </w:pPr>
    </w:p>
    <w:p w:rsidR="00754494" w:rsidRDefault="00754494">
      <w:pPr>
        <w:pStyle w:val="Standard"/>
        <w:jc w:val="both"/>
        <w:rPr>
          <w:rFonts w:cs="Times New Roman"/>
          <w:sz w:val="16"/>
          <w:szCs w:val="16"/>
        </w:rPr>
      </w:pPr>
    </w:p>
    <w:p w:rsidR="00754494" w:rsidRDefault="00754494">
      <w:pPr>
        <w:pStyle w:val="Standard"/>
        <w:jc w:val="both"/>
        <w:rPr>
          <w:rFonts w:cs="Times New Roman"/>
          <w:sz w:val="16"/>
          <w:szCs w:val="16"/>
        </w:rPr>
      </w:pPr>
    </w:p>
    <w:p w:rsidR="00754494" w:rsidRDefault="00754494">
      <w:pPr>
        <w:pStyle w:val="Standard"/>
        <w:jc w:val="both"/>
        <w:rPr>
          <w:rFonts w:cs="Times New Roman"/>
          <w:sz w:val="16"/>
          <w:szCs w:val="16"/>
        </w:rPr>
      </w:pPr>
    </w:p>
    <w:p w:rsidR="00754494" w:rsidRDefault="00754494">
      <w:pPr>
        <w:pStyle w:val="Standard"/>
        <w:jc w:val="both"/>
        <w:rPr>
          <w:rFonts w:cs="Times New Roman"/>
          <w:sz w:val="16"/>
          <w:szCs w:val="16"/>
        </w:rPr>
      </w:pPr>
    </w:p>
    <w:p w:rsidR="00754494" w:rsidRDefault="00754494">
      <w:pPr>
        <w:pStyle w:val="Standard"/>
        <w:jc w:val="both"/>
        <w:rPr>
          <w:rFonts w:cs="Times New Roman"/>
          <w:sz w:val="16"/>
          <w:szCs w:val="16"/>
        </w:rPr>
      </w:pPr>
    </w:p>
    <w:p w:rsidR="00754494" w:rsidRDefault="00102923">
      <w:pPr>
        <w:pStyle w:val="Standard"/>
        <w:jc w:val="both"/>
        <w:rPr>
          <w:rFonts w:cs="Times New Roman"/>
          <w:sz w:val="16"/>
          <w:szCs w:val="16"/>
        </w:rPr>
      </w:pPr>
      <w:r>
        <w:rPr>
          <w:rFonts w:cs="Times New Roman"/>
          <w:sz w:val="16"/>
          <w:szCs w:val="16"/>
        </w:rPr>
        <w:t>КОЗЛЕНКО Марина</w:t>
      </w:r>
    </w:p>
    <w:p w:rsidR="00754494" w:rsidRDefault="00102923">
      <w:pPr>
        <w:pStyle w:val="Standard"/>
        <w:jc w:val="both"/>
      </w:pPr>
      <w:r>
        <w:rPr>
          <w:rFonts w:cs="Times New Roman"/>
          <w:sz w:val="16"/>
          <w:szCs w:val="16"/>
        </w:rPr>
        <w:t>0955277957</w:t>
      </w:r>
    </w:p>
    <w:sectPr w:rsidR="00754494">
      <w:headerReference w:type="default" r:id="rId7"/>
      <w:pgSz w:w="11906" w:h="16838"/>
      <w:pgMar w:top="1134" w:right="566" w:bottom="1134"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923" w:rsidRDefault="00102923">
      <w:r>
        <w:separator/>
      </w:r>
    </w:p>
  </w:endnote>
  <w:endnote w:type="continuationSeparator" w:id="0">
    <w:p w:rsidR="00102923" w:rsidRDefault="0010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font308">
    <w:charset w:val="00"/>
    <w:family w:val="auto"/>
    <w:pitch w:val="variable"/>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923" w:rsidRDefault="00102923">
      <w:r>
        <w:rPr>
          <w:color w:val="000000"/>
        </w:rPr>
        <w:separator/>
      </w:r>
    </w:p>
  </w:footnote>
  <w:footnote w:type="continuationSeparator" w:id="0">
    <w:p w:rsidR="00102923" w:rsidRDefault="00102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610" w:rsidRDefault="00102923">
    <w:pPr>
      <w:pStyle w:val="a8"/>
      <w:jc w:val="center"/>
    </w:pPr>
    <w:r>
      <w:rPr>
        <w:lang w:val="ru-RU"/>
      </w:rPr>
      <w:fldChar w:fldCharType="begin"/>
    </w:r>
    <w:r>
      <w:rPr>
        <w:lang w:val="ru-RU"/>
      </w:rPr>
      <w:instrText xml:space="preserve"> PAGE </w:instrText>
    </w:r>
    <w:r>
      <w:rPr>
        <w:lang w:val="ru-RU"/>
      </w:rPr>
      <w:fldChar w:fldCharType="separate"/>
    </w:r>
    <w:r w:rsidR="00563806">
      <w:rPr>
        <w:noProof/>
        <w:lang w:val="ru-RU"/>
      </w:rPr>
      <w:t>2</w:t>
    </w:r>
    <w:r>
      <w:rPr>
        <w:lang w:val="ru-RU"/>
      </w:rPr>
      <w:fldChar w:fldCharType="end"/>
    </w:r>
  </w:p>
  <w:p w:rsidR="006A2610" w:rsidRDefault="0010292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0A9C"/>
    <w:multiLevelType w:val="multilevel"/>
    <w:tmpl w:val="6BD8CA98"/>
    <w:styleLink w:val="WWOutlineListStyle30"/>
    <w:lvl w:ilvl="0">
      <w:start w:val="1"/>
      <w:numFmt w:val="decimal"/>
      <w:lvlText w:val="%1)"/>
      <w:lvlJc w:val="left"/>
      <w:pPr>
        <w:ind w:left="1066" w:hanging="360"/>
      </w:pPr>
      <w:rPr>
        <w:color w:val="auto"/>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BAD0EB9"/>
    <w:multiLevelType w:val="multilevel"/>
    <w:tmpl w:val="EF982390"/>
    <w:styleLink w:val="WWOutlineListStyle22"/>
    <w:lvl w:ilvl="0">
      <w:start w:val="1"/>
      <w:numFmt w:val="decimal"/>
      <w:lvlText w:val="%1)"/>
      <w:lvlJc w:val="left"/>
      <w:pPr>
        <w:ind w:left="1066" w:hanging="360"/>
      </w:pPr>
      <w:rPr>
        <w:color w:val="auto"/>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CFB1CCE"/>
    <w:multiLevelType w:val="multilevel"/>
    <w:tmpl w:val="69AA3CF0"/>
    <w:styleLink w:val="WWOutlineListStyle16"/>
    <w:lvl w:ilvl="0">
      <w:start w:val="1"/>
      <w:numFmt w:val="decimal"/>
      <w:lvlText w:val="%1)"/>
      <w:lvlJc w:val="left"/>
      <w:pPr>
        <w:ind w:left="1066" w:hanging="360"/>
      </w:pPr>
      <w:rPr>
        <w:color w:val="auto"/>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E3D78E9"/>
    <w:multiLevelType w:val="multilevel"/>
    <w:tmpl w:val="B9CC3884"/>
    <w:styleLink w:val="WWOutlineListStyle6"/>
    <w:lvl w:ilvl="0">
      <w:start w:val="1"/>
      <w:numFmt w:val="decimal"/>
      <w:lvlText w:val="%1)"/>
      <w:lvlJc w:val="left"/>
      <w:pPr>
        <w:ind w:left="1066" w:hanging="360"/>
      </w:pPr>
      <w:rPr>
        <w:color w:val="auto"/>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F613FF6"/>
    <w:multiLevelType w:val="multilevel"/>
    <w:tmpl w:val="DFD467C8"/>
    <w:styleLink w:val="WWOutlineListStyle15"/>
    <w:lvl w:ilvl="0">
      <w:start w:val="1"/>
      <w:numFmt w:val="decimal"/>
      <w:lvlText w:val="%1)"/>
      <w:lvlJc w:val="left"/>
      <w:pPr>
        <w:ind w:left="1066" w:hanging="360"/>
      </w:pPr>
      <w:rPr>
        <w:color w:val="auto"/>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2E75EC1"/>
    <w:multiLevelType w:val="multilevel"/>
    <w:tmpl w:val="AB100142"/>
    <w:styleLink w:val="WWOutlineListStyle18"/>
    <w:lvl w:ilvl="0">
      <w:start w:val="1"/>
      <w:numFmt w:val="decimal"/>
      <w:lvlText w:val="%1)"/>
      <w:lvlJc w:val="left"/>
      <w:pPr>
        <w:ind w:left="1066" w:hanging="360"/>
      </w:pPr>
      <w:rPr>
        <w:color w:val="auto"/>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5E230C0"/>
    <w:multiLevelType w:val="multilevel"/>
    <w:tmpl w:val="07F24C2E"/>
    <w:styleLink w:val="WWOutlineListStyle32"/>
    <w:lvl w:ilvl="0">
      <w:start w:val="1"/>
      <w:numFmt w:val="decimal"/>
      <w:lvlText w:val="%1)"/>
      <w:lvlJc w:val="left"/>
      <w:pPr>
        <w:ind w:left="1066" w:hanging="360"/>
      </w:pPr>
      <w:rPr>
        <w:color w:val="auto"/>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B8B2475"/>
    <w:multiLevelType w:val="multilevel"/>
    <w:tmpl w:val="99142EF0"/>
    <w:styleLink w:val="WWOutlineListStyle23"/>
    <w:lvl w:ilvl="0">
      <w:start w:val="1"/>
      <w:numFmt w:val="decimal"/>
      <w:lvlText w:val="%1)"/>
      <w:lvlJc w:val="left"/>
      <w:pPr>
        <w:ind w:left="1066" w:hanging="360"/>
      </w:pPr>
      <w:rPr>
        <w:color w:val="auto"/>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D2C22BC"/>
    <w:multiLevelType w:val="multilevel"/>
    <w:tmpl w:val="7DE2DED2"/>
    <w:styleLink w:val="WWOutlineListStyle4"/>
    <w:lvl w:ilvl="0">
      <w:start w:val="1"/>
      <w:numFmt w:val="decimal"/>
      <w:lvlText w:val="%1)"/>
      <w:lvlJc w:val="left"/>
      <w:pPr>
        <w:ind w:left="1066" w:hanging="360"/>
      </w:pPr>
      <w:rPr>
        <w:color w:val="auto"/>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26D3C62"/>
    <w:multiLevelType w:val="multilevel"/>
    <w:tmpl w:val="746CBE74"/>
    <w:styleLink w:val="WWOutlineListStyle12"/>
    <w:lvl w:ilvl="0">
      <w:start w:val="1"/>
      <w:numFmt w:val="decimal"/>
      <w:lvlText w:val="%1)"/>
      <w:lvlJc w:val="left"/>
      <w:pPr>
        <w:ind w:left="1066" w:hanging="360"/>
      </w:pPr>
      <w:rPr>
        <w:color w:val="auto"/>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34220A4"/>
    <w:multiLevelType w:val="multilevel"/>
    <w:tmpl w:val="BFF4A3CC"/>
    <w:styleLink w:val="WWOutlineListStyle1"/>
    <w:lvl w:ilvl="0">
      <w:start w:val="1"/>
      <w:numFmt w:val="decimal"/>
      <w:lvlText w:val="%1)"/>
      <w:lvlJc w:val="left"/>
      <w:pPr>
        <w:ind w:left="1066" w:hanging="360"/>
      </w:pPr>
      <w:rPr>
        <w:color w:val="auto"/>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3451853"/>
    <w:multiLevelType w:val="multilevel"/>
    <w:tmpl w:val="B21C6ABC"/>
    <w:styleLink w:val="WWOutlineListStyle"/>
    <w:lvl w:ilvl="0">
      <w:start w:val="1"/>
      <w:numFmt w:val="decimal"/>
      <w:lvlText w:val="%1)"/>
      <w:lvlJc w:val="left"/>
      <w:pPr>
        <w:ind w:left="1066" w:hanging="360"/>
      </w:pPr>
      <w:rPr>
        <w:color w:val="auto"/>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6662500"/>
    <w:multiLevelType w:val="multilevel"/>
    <w:tmpl w:val="7360B5C6"/>
    <w:styleLink w:val="WWOutlineListStyle8"/>
    <w:lvl w:ilvl="0">
      <w:start w:val="1"/>
      <w:numFmt w:val="decimal"/>
      <w:lvlText w:val="%1)"/>
      <w:lvlJc w:val="left"/>
      <w:pPr>
        <w:ind w:left="1066" w:hanging="360"/>
      </w:pPr>
      <w:rPr>
        <w:color w:val="auto"/>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7EE734A"/>
    <w:multiLevelType w:val="multilevel"/>
    <w:tmpl w:val="7870ECE4"/>
    <w:styleLink w:val="WWOutlineListStyle34"/>
    <w:lvl w:ilvl="0">
      <w:start w:val="1"/>
      <w:numFmt w:val="decimal"/>
      <w:pStyle w:val="1"/>
      <w:lvlText w:val="%1)"/>
      <w:lvlJc w:val="left"/>
      <w:pPr>
        <w:ind w:left="1066" w:hanging="360"/>
      </w:pPr>
      <w:rPr>
        <w:color w:val="auto"/>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3DB92137"/>
    <w:multiLevelType w:val="multilevel"/>
    <w:tmpl w:val="CC3254D6"/>
    <w:styleLink w:val="WWOutlineListStyle20"/>
    <w:lvl w:ilvl="0">
      <w:start w:val="1"/>
      <w:numFmt w:val="decimal"/>
      <w:lvlText w:val="%1)"/>
      <w:lvlJc w:val="left"/>
      <w:pPr>
        <w:ind w:left="1066" w:hanging="360"/>
      </w:pPr>
      <w:rPr>
        <w:color w:val="auto"/>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E952665"/>
    <w:multiLevelType w:val="multilevel"/>
    <w:tmpl w:val="401A8C30"/>
    <w:styleLink w:val="WWOutlineListStyle25"/>
    <w:lvl w:ilvl="0">
      <w:start w:val="1"/>
      <w:numFmt w:val="decimal"/>
      <w:lvlText w:val="%1)"/>
      <w:lvlJc w:val="left"/>
      <w:pPr>
        <w:ind w:left="1066" w:hanging="360"/>
      </w:pPr>
      <w:rPr>
        <w:color w:val="auto"/>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3FDD3F00"/>
    <w:multiLevelType w:val="multilevel"/>
    <w:tmpl w:val="6CE63D80"/>
    <w:styleLink w:val="WWOutlineListStyle27"/>
    <w:lvl w:ilvl="0">
      <w:start w:val="1"/>
      <w:numFmt w:val="decimal"/>
      <w:lvlText w:val="%1)"/>
      <w:lvlJc w:val="left"/>
      <w:pPr>
        <w:ind w:left="1066" w:hanging="360"/>
      </w:pPr>
      <w:rPr>
        <w:color w:val="auto"/>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4E95CE6"/>
    <w:multiLevelType w:val="multilevel"/>
    <w:tmpl w:val="80501296"/>
    <w:styleLink w:val="WWOutlineListStyle5"/>
    <w:lvl w:ilvl="0">
      <w:start w:val="1"/>
      <w:numFmt w:val="decimal"/>
      <w:lvlText w:val="%1)"/>
      <w:lvlJc w:val="left"/>
      <w:pPr>
        <w:ind w:left="1066" w:hanging="360"/>
      </w:pPr>
      <w:rPr>
        <w:color w:val="auto"/>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55B67C8"/>
    <w:multiLevelType w:val="multilevel"/>
    <w:tmpl w:val="6BE4958E"/>
    <w:styleLink w:val="WWOutlineListStyle10"/>
    <w:lvl w:ilvl="0">
      <w:start w:val="1"/>
      <w:numFmt w:val="decimal"/>
      <w:lvlText w:val="%1)"/>
      <w:lvlJc w:val="left"/>
      <w:pPr>
        <w:ind w:left="1066" w:hanging="360"/>
      </w:pPr>
      <w:rPr>
        <w:color w:val="auto"/>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4CCE52D3"/>
    <w:multiLevelType w:val="multilevel"/>
    <w:tmpl w:val="5156B05E"/>
    <w:styleLink w:val="WWOutlineListStyle21"/>
    <w:lvl w:ilvl="0">
      <w:start w:val="1"/>
      <w:numFmt w:val="decimal"/>
      <w:lvlText w:val="%1)"/>
      <w:lvlJc w:val="left"/>
      <w:pPr>
        <w:ind w:left="1066" w:hanging="360"/>
      </w:pPr>
      <w:rPr>
        <w:color w:val="auto"/>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52CD3DE5"/>
    <w:multiLevelType w:val="multilevel"/>
    <w:tmpl w:val="61B60990"/>
    <w:styleLink w:val="WWOutlineListStyle33"/>
    <w:lvl w:ilvl="0">
      <w:start w:val="1"/>
      <w:numFmt w:val="decimal"/>
      <w:lvlText w:val="%1)"/>
      <w:lvlJc w:val="left"/>
      <w:pPr>
        <w:ind w:left="1066" w:hanging="360"/>
      </w:pPr>
      <w:rPr>
        <w:color w:val="auto"/>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5927049A"/>
    <w:multiLevelType w:val="multilevel"/>
    <w:tmpl w:val="87EE33FA"/>
    <w:styleLink w:val="WWOutlineListStyle24"/>
    <w:lvl w:ilvl="0">
      <w:start w:val="1"/>
      <w:numFmt w:val="decimal"/>
      <w:lvlText w:val="%1)"/>
      <w:lvlJc w:val="left"/>
      <w:pPr>
        <w:ind w:left="1066" w:hanging="360"/>
      </w:pPr>
      <w:rPr>
        <w:color w:val="auto"/>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5A65277D"/>
    <w:multiLevelType w:val="multilevel"/>
    <w:tmpl w:val="26ACF148"/>
    <w:styleLink w:val="WWOutlineListStyle29"/>
    <w:lvl w:ilvl="0">
      <w:start w:val="1"/>
      <w:numFmt w:val="decimal"/>
      <w:lvlText w:val="%1)"/>
      <w:lvlJc w:val="left"/>
      <w:pPr>
        <w:ind w:left="1066" w:hanging="360"/>
      </w:pPr>
      <w:rPr>
        <w:color w:val="auto"/>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5BF17468"/>
    <w:multiLevelType w:val="multilevel"/>
    <w:tmpl w:val="1A1E5400"/>
    <w:styleLink w:val="WWOutlineListStyle17"/>
    <w:lvl w:ilvl="0">
      <w:start w:val="1"/>
      <w:numFmt w:val="decimal"/>
      <w:lvlText w:val="%1)"/>
      <w:lvlJc w:val="left"/>
      <w:pPr>
        <w:ind w:left="1066" w:hanging="360"/>
      </w:pPr>
      <w:rPr>
        <w:color w:val="auto"/>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9896C52"/>
    <w:multiLevelType w:val="multilevel"/>
    <w:tmpl w:val="94B2F6F0"/>
    <w:styleLink w:val="WWOutlineListStyle3"/>
    <w:lvl w:ilvl="0">
      <w:start w:val="1"/>
      <w:numFmt w:val="decimal"/>
      <w:lvlText w:val="%1)"/>
      <w:lvlJc w:val="left"/>
      <w:pPr>
        <w:ind w:left="1066" w:hanging="360"/>
      </w:pPr>
      <w:rPr>
        <w:color w:val="auto"/>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A865340"/>
    <w:multiLevelType w:val="multilevel"/>
    <w:tmpl w:val="EC54FF66"/>
    <w:styleLink w:val="WWOutlineListStyle26"/>
    <w:lvl w:ilvl="0">
      <w:start w:val="1"/>
      <w:numFmt w:val="decimal"/>
      <w:lvlText w:val="%1)"/>
      <w:lvlJc w:val="left"/>
      <w:pPr>
        <w:ind w:left="1066" w:hanging="360"/>
      </w:pPr>
      <w:rPr>
        <w:color w:val="auto"/>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6C554246"/>
    <w:multiLevelType w:val="multilevel"/>
    <w:tmpl w:val="9008056C"/>
    <w:styleLink w:val="WWOutlineListStyle2"/>
    <w:lvl w:ilvl="0">
      <w:start w:val="1"/>
      <w:numFmt w:val="decimal"/>
      <w:lvlText w:val="%1)"/>
      <w:lvlJc w:val="left"/>
      <w:pPr>
        <w:ind w:left="1066" w:hanging="360"/>
      </w:pPr>
      <w:rPr>
        <w:color w:val="auto"/>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705A6E53"/>
    <w:multiLevelType w:val="multilevel"/>
    <w:tmpl w:val="8A4C254E"/>
    <w:styleLink w:val="WWOutlineListStyle28"/>
    <w:lvl w:ilvl="0">
      <w:start w:val="1"/>
      <w:numFmt w:val="decimal"/>
      <w:lvlText w:val="%1)"/>
      <w:lvlJc w:val="left"/>
      <w:pPr>
        <w:ind w:left="1066" w:hanging="360"/>
      </w:pPr>
      <w:rPr>
        <w:color w:val="auto"/>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715C234A"/>
    <w:multiLevelType w:val="multilevel"/>
    <w:tmpl w:val="041048B6"/>
    <w:styleLink w:val="WWOutlineListStyle9"/>
    <w:lvl w:ilvl="0">
      <w:start w:val="1"/>
      <w:numFmt w:val="decimal"/>
      <w:lvlText w:val="%1)"/>
      <w:lvlJc w:val="left"/>
      <w:pPr>
        <w:ind w:left="1066" w:hanging="360"/>
      </w:pPr>
      <w:rPr>
        <w:color w:val="auto"/>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716051B3"/>
    <w:multiLevelType w:val="multilevel"/>
    <w:tmpl w:val="21B6A80C"/>
    <w:styleLink w:val="Outline"/>
    <w:lvl w:ilvl="0">
      <w:start w:val="1"/>
      <w:numFmt w:val="decimal"/>
      <w:lvlText w:val="%1)"/>
      <w:lvlJc w:val="left"/>
      <w:pPr>
        <w:ind w:left="1066" w:hanging="360"/>
      </w:pPr>
      <w:rPr>
        <w:color w:val="auto"/>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725A4474"/>
    <w:multiLevelType w:val="multilevel"/>
    <w:tmpl w:val="AE56A262"/>
    <w:styleLink w:val="WWOutlineListStyle31"/>
    <w:lvl w:ilvl="0">
      <w:start w:val="1"/>
      <w:numFmt w:val="decimal"/>
      <w:lvlText w:val="%1)"/>
      <w:lvlJc w:val="left"/>
      <w:pPr>
        <w:ind w:left="1066" w:hanging="360"/>
      </w:pPr>
      <w:rPr>
        <w:color w:val="auto"/>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733F1981"/>
    <w:multiLevelType w:val="multilevel"/>
    <w:tmpl w:val="1A96495E"/>
    <w:styleLink w:val="WWOutlineListStyle7"/>
    <w:lvl w:ilvl="0">
      <w:start w:val="1"/>
      <w:numFmt w:val="decimal"/>
      <w:lvlText w:val="%1)"/>
      <w:lvlJc w:val="left"/>
      <w:pPr>
        <w:ind w:left="1066" w:hanging="360"/>
      </w:pPr>
      <w:rPr>
        <w:color w:val="auto"/>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73CD3EEB"/>
    <w:multiLevelType w:val="multilevel"/>
    <w:tmpl w:val="FEA0073E"/>
    <w:styleLink w:val="WWOutlineListStyle19"/>
    <w:lvl w:ilvl="0">
      <w:start w:val="1"/>
      <w:numFmt w:val="decimal"/>
      <w:lvlText w:val="%1)"/>
      <w:lvlJc w:val="left"/>
      <w:pPr>
        <w:ind w:left="1066" w:hanging="360"/>
      </w:pPr>
      <w:rPr>
        <w:color w:val="auto"/>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79870D09"/>
    <w:multiLevelType w:val="multilevel"/>
    <w:tmpl w:val="7300697E"/>
    <w:styleLink w:val="WWOutlineListStyle13"/>
    <w:lvl w:ilvl="0">
      <w:start w:val="1"/>
      <w:numFmt w:val="decimal"/>
      <w:lvlText w:val="%1)"/>
      <w:lvlJc w:val="left"/>
      <w:pPr>
        <w:ind w:left="1066" w:hanging="360"/>
      </w:pPr>
      <w:rPr>
        <w:color w:val="auto"/>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7C7A2EDB"/>
    <w:multiLevelType w:val="multilevel"/>
    <w:tmpl w:val="69A8C4E8"/>
    <w:styleLink w:val="WWOutlineListStyle11"/>
    <w:lvl w:ilvl="0">
      <w:start w:val="1"/>
      <w:numFmt w:val="decimal"/>
      <w:lvlText w:val="%1)"/>
      <w:lvlJc w:val="left"/>
      <w:pPr>
        <w:ind w:left="1066" w:hanging="360"/>
      </w:pPr>
      <w:rPr>
        <w:color w:val="auto"/>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7F413F2C"/>
    <w:multiLevelType w:val="multilevel"/>
    <w:tmpl w:val="8386115A"/>
    <w:styleLink w:val="WWOutlineListStyle14"/>
    <w:lvl w:ilvl="0">
      <w:start w:val="1"/>
      <w:numFmt w:val="decimal"/>
      <w:lvlText w:val="%1)"/>
      <w:lvlJc w:val="left"/>
      <w:pPr>
        <w:ind w:left="1066" w:hanging="360"/>
      </w:pPr>
      <w:rPr>
        <w:color w:val="auto"/>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3"/>
  </w:num>
  <w:num w:numId="2">
    <w:abstractNumId w:val="20"/>
  </w:num>
  <w:num w:numId="3">
    <w:abstractNumId w:val="6"/>
  </w:num>
  <w:num w:numId="4">
    <w:abstractNumId w:val="30"/>
  </w:num>
  <w:num w:numId="5">
    <w:abstractNumId w:val="0"/>
  </w:num>
  <w:num w:numId="6">
    <w:abstractNumId w:val="22"/>
  </w:num>
  <w:num w:numId="7">
    <w:abstractNumId w:val="27"/>
  </w:num>
  <w:num w:numId="8">
    <w:abstractNumId w:val="16"/>
  </w:num>
  <w:num w:numId="9">
    <w:abstractNumId w:val="25"/>
  </w:num>
  <w:num w:numId="10">
    <w:abstractNumId w:val="15"/>
  </w:num>
  <w:num w:numId="11">
    <w:abstractNumId w:val="21"/>
  </w:num>
  <w:num w:numId="12">
    <w:abstractNumId w:val="7"/>
  </w:num>
  <w:num w:numId="13">
    <w:abstractNumId w:val="1"/>
  </w:num>
  <w:num w:numId="14">
    <w:abstractNumId w:val="19"/>
  </w:num>
  <w:num w:numId="15">
    <w:abstractNumId w:val="14"/>
  </w:num>
  <w:num w:numId="16">
    <w:abstractNumId w:val="32"/>
  </w:num>
  <w:num w:numId="17">
    <w:abstractNumId w:val="5"/>
  </w:num>
  <w:num w:numId="18">
    <w:abstractNumId w:val="23"/>
  </w:num>
  <w:num w:numId="19">
    <w:abstractNumId w:val="2"/>
  </w:num>
  <w:num w:numId="20">
    <w:abstractNumId w:val="4"/>
  </w:num>
  <w:num w:numId="21">
    <w:abstractNumId w:val="35"/>
  </w:num>
  <w:num w:numId="22">
    <w:abstractNumId w:val="33"/>
  </w:num>
  <w:num w:numId="23">
    <w:abstractNumId w:val="9"/>
  </w:num>
  <w:num w:numId="24">
    <w:abstractNumId w:val="34"/>
  </w:num>
  <w:num w:numId="25">
    <w:abstractNumId w:val="18"/>
  </w:num>
  <w:num w:numId="26">
    <w:abstractNumId w:val="28"/>
  </w:num>
  <w:num w:numId="27">
    <w:abstractNumId w:val="29"/>
  </w:num>
  <w:num w:numId="28">
    <w:abstractNumId w:val="12"/>
  </w:num>
  <w:num w:numId="29">
    <w:abstractNumId w:val="31"/>
  </w:num>
  <w:num w:numId="30">
    <w:abstractNumId w:val="3"/>
  </w:num>
  <w:num w:numId="31">
    <w:abstractNumId w:val="17"/>
  </w:num>
  <w:num w:numId="32">
    <w:abstractNumId w:val="8"/>
  </w:num>
  <w:num w:numId="33">
    <w:abstractNumId w:val="24"/>
  </w:num>
  <w:num w:numId="34">
    <w:abstractNumId w:val="26"/>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754494"/>
    <w:rsid w:val="00102923"/>
    <w:rsid w:val="00563806"/>
    <w:rsid w:val="007544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5898B-BEF8-4EB8-ADBC-1BA072D7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uk-UA" w:eastAsia="uk-UA"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next w:val="a"/>
    <w:pPr>
      <w:keepNext/>
      <w:widowControl/>
      <w:numPr>
        <w:numId w:val="1"/>
      </w:numPr>
      <w:textAlignment w:val="auto"/>
      <w:outlineLvl w:val="0"/>
    </w:pPr>
    <w:rPr>
      <w:rFonts w:eastAsia="Times New Roman" w:cs="Times New Roman"/>
      <w:kern w:val="0"/>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34">
    <w:name w:val="WW_OutlineListStyle_34"/>
    <w:basedOn w:val="a2"/>
    <w:pPr>
      <w:numPr>
        <w:numId w:val="1"/>
      </w:numPr>
    </w:pPr>
  </w:style>
  <w:style w:type="paragraph" w:customStyle="1" w:styleId="2">
    <w:name w:val="Основной текст (2)"/>
    <w:basedOn w:val="Standard"/>
    <w:pPr>
      <w:spacing w:after="240" w:line="306" w:lineRule="exact"/>
    </w:pPr>
    <w:rPr>
      <w:rFonts w:eastAsia="Times New Roman" w:cs="Times New Roman"/>
      <w:sz w:val="28"/>
      <w:szCs w:val="28"/>
    </w:rPr>
  </w:style>
  <w:style w:type="paragraph" w:customStyle="1" w:styleId="10">
    <w:name w:val="Без интервала1"/>
    <w:pPr>
      <w:widowControl/>
      <w:suppressAutoHyphens/>
      <w:textAlignment w:val="auto"/>
    </w:pPr>
    <w:rPr>
      <w:rFonts w:ascii="Calibri" w:eastAsia="Calibri" w:hAnsi="Calibri" w:cs="font308"/>
      <w:color w:val="00000A"/>
      <w:kern w:val="0"/>
      <w:sz w:val="22"/>
      <w:szCs w:val="22"/>
      <w:lang w:val="ru-RU" w:eastAsia="zh-CN"/>
    </w:r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rial" w:hAnsi="Arial" w:cs="Arial"/>
      <w:sz w:val="28"/>
      <w:szCs w:val="28"/>
    </w:rPr>
  </w:style>
  <w:style w:type="paragraph" w:customStyle="1" w:styleId="Textbody">
    <w:name w:val="Text body"/>
    <w:basedOn w:val="a"/>
    <w:pPr>
      <w:widowControl/>
      <w:jc w:val="center"/>
      <w:textAlignment w:val="auto"/>
    </w:pPr>
    <w:rPr>
      <w:rFonts w:eastAsia="Times New Roman" w:cs="Times New Roman"/>
      <w:b/>
      <w:kern w:val="0"/>
      <w:sz w:val="28"/>
      <w:szCs w:val="20"/>
      <w:lang w:eastAsia="zh-CN"/>
    </w:rPr>
  </w:style>
  <w:style w:type="paragraph" w:styleId="a3">
    <w:name w:val="No Spacing"/>
    <w:pPr>
      <w:widowControl/>
      <w:textAlignment w:val="auto"/>
    </w:pPr>
    <w:rPr>
      <w:rFonts w:ascii="Calibri" w:eastAsia="Calibri" w:hAnsi="Calibri" w:cs="Times New Roman"/>
      <w:kern w:val="0"/>
      <w:sz w:val="22"/>
      <w:szCs w:val="22"/>
      <w:lang w:eastAsia="en-US"/>
    </w:rPr>
  </w:style>
  <w:style w:type="paragraph" w:styleId="a4">
    <w:name w:val="Balloon Text"/>
    <w:basedOn w:val="a"/>
    <w:rPr>
      <w:rFonts w:ascii="Segoe UI" w:eastAsia="Segoe UI" w:hAnsi="Segoe UI" w:cs="Segoe UI"/>
      <w:sz w:val="18"/>
      <w:szCs w:val="18"/>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7">
    <w:name w:val="List Paragraph"/>
    <w:basedOn w:val="a"/>
    <w:pPr>
      <w:ind w:left="720"/>
    </w:pPr>
  </w:style>
  <w:style w:type="paragraph" w:styleId="a8">
    <w:name w:val="header"/>
    <w:basedOn w:val="a"/>
    <w:pPr>
      <w:tabs>
        <w:tab w:val="center" w:pos="4819"/>
        <w:tab w:val="right" w:pos="9639"/>
      </w:tabs>
    </w:pPr>
  </w:style>
  <w:style w:type="paragraph" w:styleId="a9">
    <w:name w:val="footer"/>
    <w:basedOn w:val="a"/>
    <w:pPr>
      <w:tabs>
        <w:tab w:val="center" w:pos="4819"/>
        <w:tab w:val="right" w:pos="9639"/>
      </w:tabs>
    </w:pPr>
  </w:style>
  <w:style w:type="character" w:customStyle="1" w:styleId="ListLabel1">
    <w:name w:val="ListLabel 1"/>
    <w:rPr>
      <w:rFonts w:eastAsia="Calibri"/>
    </w:rPr>
  </w:style>
  <w:style w:type="character" w:customStyle="1" w:styleId="BulletSymbols">
    <w:name w:val="Bullet Symbols"/>
    <w:rPr>
      <w:rFonts w:ascii="OpenSymbol" w:eastAsia="OpenSymbol" w:hAnsi="OpenSymbol" w:cs="OpenSymbol"/>
    </w:rPr>
  </w:style>
  <w:style w:type="character" w:customStyle="1" w:styleId="11">
    <w:name w:val="Заголовок 1 Знак"/>
    <w:basedOn w:val="a0"/>
    <w:rPr>
      <w:rFonts w:eastAsia="Times New Roman" w:cs="Times New Roman"/>
      <w:kern w:val="0"/>
      <w:sz w:val="28"/>
      <w:szCs w:val="20"/>
      <w:lang w:eastAsia="zh-CN"/>
    </w:rPr>
  </w:style>
  <w:style w:type="character" w:customStyle="1" w:styleId="aa">
    <w:name w:val="Основной текст Знак"/>
    <w:basedOn w:val="a0"/>
    <w:rPr>
      <w:rFonts w:eastAsia="Times New Roman" w:cs="Times New Roman"/>
      <w:b/>
      <w:kern w:val="0"/>
      <w:sz w:val="28"/>
      <w:szCs w:val="20"/>
      <w:lang w:eastAsia="zh-CN"/>
    </w:rPr>
  </w:style>
  <w:style w:type="character" w:customStyle="1" w:styleId="ab">
    <w:name w:val="Текст выноски Знак"/>
    <w:basedOn w:val="a0"/>
    <w:rPr>
      <w:rFonts w:ascii="Segoe UI" w:eastAsia="Segoe UI" w:hAnsi="Segoe UI" w:cs="Segoe UI"/>
      <w:sz w:val="18"/>
      <w:szCs w:val="18"/>
    </w:rPr>
  </w:style>
  <w:style w:type="character" w:customStyle="1" w:styleId="ac">
    <w:name w:val="Верхний колонтитул Знак"/>
    <w:basedOn w:val="a0"/>
  </w:style>
  <w:style w:type="character" w:customStyle="1" w:styleId="ad">
    <w:name w:val="Нижний колонтитул Знак"/>
    <w:basedOn w:val="a0"/>
  </w:style>
  <w:style w:type="character" w:customStyle="1" w:styleId="211pt">
    <w:name w:val="Основной текст (2) + 11 pt"/>
    <w:basedOn w:val="a0"/>
    <w:rPr>
      <w:rFonts w:ascii="Times New Roman" w:eastAsia="Times New Roman" w:hAnsi="Times New Roman" w:cs="Times New Roman"/>
      <w:i w:val="0"/>
      <w:iCs w:val="0"/>
      <w:caps w:val="0"/>
      <w:smallCaps w:val="0"/>
      <w:color w:val="000000"/>
      <w:spacing w:val="0"/>
      <w:w w:val="100"/>
      <w:sz w:val="22"/>
      <w:szCs w:val="22"/>
      <w:shd w:val="clear" w:color="auto" w:fill="FFFFFF"/>
      <w:lang w:val="uk-UA" w:eastAsia="uk-UA" w:bidi="uk-UA"/>
    </w:rPr>
  </w:style>
  <w:style w:type="numbering" w:customStyle="1" w:styleId="WWOutlineListStyle33">
    <w:name w:val="WW_OutlineListStyle_33"/>
    <w:basedOn w:val="a2"/>
    <w:pPr>
      <w:numPr>
        <w:numId w:val="2"/>
      </w:numPr>
    </w:pPr>
  </w:style>
  <w:style w:type="numbering" w:customStyle="1" w:styleId="WWOutlineListStyle32">
    <w:name w:val="WW_OutlineListStyle_32"/>
    <w:basedOn w:val="a2"/>
    <w:pPr>
      <w:numPr>
        <w:numId w:val="3"/>
      </w:numPr>
    </w:pPr>
  </w:style>
  <w:style w:type="numbering" w:customStyle="1" w:styleId="WWOutlineListStyle31">
    <w:name w:val="WW_OutlineListStyle_31"/>
    <w:basedOn w:val="a2"/>
    <w:pPr>
      <w:numPr>
        <w:numId w:val="4"/>
      </w:numPr>
    </w:pPr>
  </w:style>
  <w:style w:type="numbering" w:customStyle="1" w:styleId="WWOutlineListStyle30">
    <w:name w:val="WW_OutlineListStyle_30"/>
    <w:basedOn w:val="a2"/>
    <w:pPr>
      <w:numPr>
        <w:numId w:val="5"/>
      </w:numPr>
    </w:pPr>
  </w:style>
  <w:style w:type="numbering" w:customStyle="1" w:styleId="WWOutlineListStyle29">
    <w:name w:val="WW_OutlineListStyle_29"/>
    <w:basedOn w:val="a2"/>
    <w:pPr>
      <w:numPr>
        <w:numId w:val="6"/>
      </w:numPr>
    </w:pPr>
  </w:style>
  <w:style w:type="numbering" w:customStyle="1" w:styleId="WWOutlineListStyle28">
    <w:name w:val="WW_OutlineListStyle_28"/>
    <w:basedOn w:val="a2"/>
    <w:pPr>
      <w:numPr>
        <w:numId w:val="7"/>
      </w:numPr>
    </w:pPr>
  </w:style>
  <w:style w:type="numbering" w:customStyle="1" w:styleId="WWOutlineListStyle27">
    <w:name w:val="WW_OutlineListStyle_27"/>
    <w:basedOn w:val="a2"/>
    <w:pPr>
      <w:numPr>
        <w:numId w:val="8"/>
      </w:numPr>
    </w:pPr>
  </w:style>
  <w:style w:type="numbering" w:customStyle="1" w:styleId="WWOutlineListStyle26">
    <w:name w:val="WW_OutlineListStyle_26"/>
    <w:basedOn w:val="a2"/>
    <w:pPr>
      <w:numPr>
        <w:numId w:val="9"/>
      </w:numPr>
    </w:pPr>
  </w:style>
  <w:style w:type="numbering" w:customStyle="1" w:styleId="WWOutlineListStyle25">
    <w:name w:val="WW_OutlineListStyle_25"/>
    <w:basedOn w:val="a2"/>
    <w:pPr>
      <w:numPr>
        <w:numId w:val="10"/>
      </w:numPr>
    </w:pPr>
  </w:style>
  <w:style w:type="numbering" w:customStyle="1" w:styleId="WWOutlineListStyle24">
    <w:name w:val="WW_OutlineListStyle_24"/>
    <w:basedOn w:val="a2"/>
    <w:pPr>
      <w:numPr>
        <w:numId w:val="11"/>
      </w:numPr>
    </w:pPr>
  </w:style>
  <w:style w:type="numbering" w:customStyle="1" w:styleId="WWOutlineListStyle23">
    <w:name w:val="WW_OutlineListStyle_23"/>
    <w:basedOn w:val="a2"/>
    <w:pPr>
      <w:numPr>
        <w:numId w:val="12"/>
      </w:numPr>
    </w:pPr>
  </w:style>
  <w:style w:type="numbering" w:customStyle="1" w:styleId="WWOutlineListStyle22">
    <w:name w:val="WW_OutlineListStyle_22"/>
    <w:basedOn w:val="a2"/>
    <w:pPr>
      <w:numPr>
        <w:numId w:val="13"/>
      </w:numPr>
    </w:pPr>
  </w:style>
  <w:style w:type="numbering" w:customStyle="1" w:styleId="WWOutlineListStyle21">
    <w:name w:val="WW_OutlineListStyle_21"/>
    <w:basedOn w:val="a2"/>
    <w:pPr>
      <w:numPr>
        <w:numId w:val="14"/>
      </w:numPr>
    </w:pPr>
  </w:style>
  <w:style w:type="numbering" w:customStyle="1" w:styleId="WWOutlineListStyle20">
    <w:name w:val="WW_OutlineListStyle_20"/>
    <w:basedOn w:val="a2"/>
    <w:pPr>
      <w:numPr>
        <w:numId w:val="15"/>
      </w:numPr>
    </w:pPr>
  </w:style>
  <w:style w:type="numbering" w:customStyle="1" w:styleId="WWOutlineListStyle19">
    <w:name w:val="WW_OutlineListStyle_19"/>
    <w:basedOn w:val="a2"/>
    <w:pPr>
      <w:numPr>
        <w:numId w:val="16"/>
      </w:numPr>
    </w:pPr>
  </w:style>
  <w:style w:type="numbering" w:customStyle="1" w:styleId="WWOutlineListStyle18">
    <w:name w:val="WW_OutlineListStyle_18"/>
    <w:basedOn w:val="a2"/>
    <w:pPr>
      <w:numPr>
        <w:numId w:val="17"/>
      </w:numPr>
    </w:pPr>
  </w:style>
  <w:style w:type="numbering" w:customStyle="1" w:styleId="WWOutlineListStyle17">
    <w:name w:val="WW_OutlineListStyle_17"/>
    <w:basedOn w:val="a2"/>
    <w:pPr>
      <w:numPr>
        <w:numId w:val="18"/>
      </w:numPr>
    </w:pPr>
  </w:style>
  <w:style w:type="numbering" w:customStyle="1" w:styleId="WWOutlineListStyle16">
    <w:name w:val="WW_OutlineListStyle_16"/>
    <w:basedOn w:val="a2"/>
    <w:pPr>
      <w:numPr>
        <w:numId w:val="19"/>
      </w:numPr>
    </w:pPr>
  </w:style>
  <w:style w:type="numbering" w:customStyle="1" w:styleId="WWOutlineListStyle15">
    <w:name w:val="WW_OutlineListStyle_15"/>
    <w:basedOn w:val="a2"/>
    <w:pPr>
      <w:numPr>
        <w:numId w:val="20"/>
      </w:numPr>
    </w:pPr>
  </w:style>
  <w:style w:type="numbering" w:customStyle="1" w:styleId="WWOutlineListStyle14">
    <w:name w:val="WW_OutlineListStyle_14"/>
    <w:basedOn w:val="a2"/>
    <w:pPr>
      <w:numPr>
        <w:numId w:val="21"/>
      </w:numPr>
    </w:pPr>
  </w:style>
  <w:style w:type="numbering" w:customStyle="1" w:styleId="WWOutlineListStyle13">
    <w:name w:val="WW_OutlineListStyle_13"/>
    <w:basedOn w:val="a2"/>
    <w:pPr>
      <w:numPr>
        <w:numId w:val="22"/>
      </w:numPr>
    </w:pPr>
  </w:style>
  <w:style w:type="numbering" w:customStyle="1" w:styleId="WWOutlineListStyle12">
    <w:name w:val="WW_OutlineListStyle_12"/>
    <w:basedOn w:val="a2"/>
    <w:pPr>
      <w:numPr>
        <w:numId w:val="23"/>
      </w:numPr>
    </w:pPr>
  </w:style>
  <w:style w:type="numbering" w:customStyle="1" w:styleId="WWOutlineListStyle11">
    <w:name w:val="WW_OutlineListStyle_11"/>
    <w:basedOn w:val="a2"/>
    <w:pPr>
      <w:numPr>
        <w:numId w:val="24"/>
      </w:numPr>
    </w:pPr>
  </w:style>
  <w:style w:type="numbering" w:customStyle="1" w:styleId="WWOutlineListStyle10">
    <w:name w:val="WW_OutlineListStyle_10"/>
    <w:basedOn w:val="a2"/>
    <w:pPr>
      <w:numPr>
        <w:numId w:val="25"/>
      </w:numPr>
    </w:pPr>
  </w:style>
  <w:style w:type="numbering" w:customStyle="1" w:styleId="WWOutlineListStyle9">
    <w:name w:val="WW_OutlineListStyle_9"/>
    <w:basedOn w:val="a2"/>
    <w:pPr>
      <w:numPr>
        <w:numId w:val="26"/>
      </w:numPr>
    </w:pPr>
  </w:style>
  <w:style w:type="numbering" w:customStyle="1" w:styleId="Outline">
    <w:name w:val="Outline"/>
    <w:basedOn w:val="a2"/>
    <w:pPr>
      <w:numPr>
        <w:numId w:val="27"/>
      </w:numPr>
    </w:pPr>
  </w:style>
  <w:style w:type="numbering" w:customStyle="1" w:styleId="WWOutlineListStyle8">
    <w:name w:val="WW_OutlineListStyle_8"/>
    <w:basedOn w:val="a2"/>
    <w:pPr>
      <w:numPr>
        <w:numId w:val="28"/>
      </w:numPr>
    </w:pPr>
  </w:style>
  <w:style w:type="numbering" w:customStyle="1" w:styleId="WWOutlineListStyle7">
    <w:name w:val="WW_OutlineListStyle_7"/>
    <w:basedOn w:val="a2"/>
    <w:pPr>
      <w:numPr>
        <w:numId w:val="29"/>
      </w:numPr>
    </w:pPr>
  </w:style>
  <w:style w:type="numbering" w:customStyle="1" w:styleId="WWOutlineListStyle6">
    <w:name w:val="WW_OutlineListStyle_6"/>
    <w:basedOn w:val="a2"/>
    <w:pPr>
      <w:numPr>
        <w:numId w:val="30"/>
      </w:numPr>
    </w:pPr>
  </w:style>
  <w:style w:type="numbering" w:customStyle="1" w:styleId="WWOutlineListStyle5">
    <w:name w:val="WW_OutlineListStyle_5"/>
    <w:basedOn w:val="a2"/>
    <w:pPr>
      <w:numPr>
        <w:numId w:val="31"/>
      </w:numPr>
    </w:pPr>
  </w:style>
  <w:style w:type="numbering" w:customStyle="1" w:styleId="WWOutlineListStyle4">
    <w:name w:val="WW_OutlineListStyle_4"/>
    <w:basedOn w:val="a2"/>
    <w:pPr>
      <w:numPr>
        <w:numId w:val="32"/>
      </w:numPr>
    </w:pPr>
  </w:style>
  <w:style w:type="numbering" w:customStyle="1" w:styleId="WWOutlineListStyle3">
    <w:name w:val="WW_OutlineListStyle_3"/>
    <w:basedOn w:val="a2"/>
    <w:pPr>
      <w:numPr>
        <w:numId w:val="33"/>
      </w:numPr>
    </w:pPr>
  </w:style>
  <w:style w:type="numbering" w:customStyle="1" w:styleId="WWOutlineListStyle2">
    <w:name w:val="WW_OutlineListStyle_2"/>
    <w:basedOn w:val="a2"/>
    <w:pPr>
      <w:numPr>
        <w:numId w:val="34"/>
      </w:numPr>
    </w:pPr>
  </w:style>
  <w:style w:type="numbering" w:customStyle="1" w:styleId="WWOutlineListStyle1">
    <w:name w:val="WW_OutlineListStyle_1"/>
    <w:basedOn w:val="a2"/>
    <w:pPr>
      <w:numPr>
        <w:numId w:val="35"/>
      </w:numPr>
    </w:pPr>
  </w:style>
  <w:style w:type="numbering" w:customStyle="1" w:styleId="WWOutlineListStyle">
    <w:name w:val="WW_OutlineListStyle"/>
    <w:basedOn w:val="a2"/>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9467</Words>
  <Characters>5397</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Даниил Сазонов</cp:lastModifiedBy>
  <cp:revision>2</cp:revision>
  <cp:lastPrinted>2021-04-26T08:18:00Z</cp:lastPrinted>
  <dcterms:created xsi:type="dcterms:W3CDTF">2021-05-11T07:11:00Z</dcterms:created>
  <dcterms:modified xsi:type="dcterms:W3CDTF">2021-05-11T07:11:00Z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