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501"/>
        <w:tblW w:w="15163" w:type="dxa"/>
        <w:tblLook w:val="04A0" w:firstRow="1" w:lastRow="0" w:firstColumn="1" w:lastColumn="0" w:noHBand="0" w:noVBand="1"/>
      </w:tblPr>
      <w:tblGrid>
        <w:gridCol w:w="699"/>
        <w:gridCol w:w="3696"/>
        <w:gridCol w:w="6804"/>
        <w:gridCol w:w="3964"/>
      </w:tblGrid>
      <w:tr w:rsidR="009E3895" w:rsidRPr="0021190B" w14:paraId="2A61333B" w14:textId="77777777" w:rsidTr="000A4C3F">
        <w:trPr>
          <w:tblHeader/>
        </w:trPr>
        <w:tc>
          <w:tcPr>
            <w:tcW w:w="15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773AE" w14:textId="77777777" w:rsidR="006661AD" w:rsidRPr="000A4C3F" w:rsidRDefault="006661AD" w:rsidP="00C67F3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0A4C3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="00AB1270" w:rsidRPr="000A4C3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  <w:p w14:paraId="53218A9A" w14:textId="77777777" w:rsidR="000A4C3F" w:rsidRPr="000A4C3F" w:rsidRDefault="000A4C3F" w:rsidP="00C67F3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31DBE2B" w14:textId="77777777" w:rsidR="009E3895" w:rsidRPr="000A4C3F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bookmarkStart w:id="1" w:name="_Hlk154409836"/>
            <w:r w:rsidRPr="000A4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Таблиця врахування зауважень та пропозицій</w:t>
            </w:r>
            <w:r w:rsidRPr="000A4C3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 xml:space="preserve">  </w:t>
            </w:r>
          </w:p>
          <w:p w14:paraId="771536EF" w14:textId="77777777" w:rsidR="00AB1270" w:rsidRPr="000A4C3F" w:rsidRDefault="00984BC3" w:rsidP="00AB127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Hlk154409881"/>
            <w:r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AB1270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 про визначення обсягу стратегічної екологічної оцінки змін до Програми економічного і соціального розвитку Донецької області на 202</w:t>
            </w:r>
            <w:r w:rsidR="00ED780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B1270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та </w:t>
            </w:r>
            <w:proofErr w:type="spellStart"/>
            <w:r w:rsidR="00AB1270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AB1270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 до Програми економічного і соціального розвитку Донецької області на 202</w:t>
            </w:r>
            <w:r w:rsidR="00ED780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B1270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bookmarkEnd w:id="1"/>
          <w:bookmarkEnd w:id="2"/>
          <w:p w14:paraId="03E95B53" w14:textId="77777777" w:rsidR="00123E29" w:rsidRPr="000A4C3F" w:rsidRDefault="00123E29" w:rsidP="00794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E3895" w:rsidRPr="00E45AF9" w14:paraId="3E0B1B68" w14:textId="77777777" w:rsidTr="000A4C3F">
        <w:trPr>
          <w:tblHeader/>
        </w:trPr>
        <w:tc>
          <w:tcPr>
            <w:tcW w:w="699" w:type="dxa"/>
            <w:tcBorders>
              <w:top w:val="single" w:sz="4" w:space="0" w:color="auto"/>
            </w:tcBorders>
          </w:tcPr>
          <w:p w14:paraId="6DF71B1F" w14:textId="77777777"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154409936"/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3BD87969" w14:textId="77777777" w:rsidR="009E3895" w:rsidRPr="00E45AF9" w:rsidRDefault="00DF7029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9E3895"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7AB68270" w14:textId="77777777"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Орган виконавчої влади 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6B705F6" w14:textId="77777777" w:rsidR="009E3895" w:rsidRPr="000A4C3F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4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Стислий зміст зауваження чи пропозицій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766C9132" w14:textId="77777777"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розгляд</w:t>
            </w:r>
          </w:p>
        </w:tc>
      </w:tr>
      <w:tr w:rsidR="009E3895" w:rsidRPr="00E45AF9" w14:paraId="299C26B2" w14:textId="77777777" w:rsidTr="000A4C3F">
        <w:trPr>
          <w:tblHeader/>
        </w:trPr>
        <w:tc>
          <w:tcPr>
            <w:tcW w:w="699" w:type="dxa"/>
          </w:tcPr>
          <w:p w14:paraId="4B274284" w14:textId="77777777"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696" w:type="dxa"/>
          </w:tcPr>
          <w:p w14:paraId="3C2FA4B6" w14:textId="77777777"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14:paraId="0ACE9D08" w14:textId="77777777" w:rsidR="009E3895" w:rsidRPr="000A4C3F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4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964" w:type="dxa"/>
          </w:tcPr>
          <w:p w14:paraId="336AF740" w14:textId="77777777"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166371" w:rsidRPr="00E45AF9" w14:paraId="3E02FB5F" w14:textId="77777777" w:rsidTr="000A4C3F">
        <w:trPr>
          <w:trHeight w:val="1818"/>
        </w:trPr>
        <w:tc>
          <w:tcPr>
            <w:tcW w:w="699" w:type="dxa"/>
          </w:tcPr>
          <w:p w14:paraId="66854956" w14:textId="77777777" w:rsidR="00166371" w:rsidRPr="00E45AF9" w:rsidRDefault="00166371" w:rsidP="000A4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96" w:type="dxa"/>
          </w:tcPr>
          <w:p w14:paraId="225B5DCF" w14:textId="103EA3A3" w:rsidR="00166371" w:rsidRPr="0045590A" w:rsidRDefault="00166371" w:rsidP="000A4C3F">
            <w:pPr>
              <w:ind w:right="34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Департамент </w:t>
            </w:r>
            <w:r w:rsidR="000A4C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екології та природних ресурсів</w:t>
            </w:r>
            <w:r w:rsidR="0040182A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Донецької обл</w:t>
            </w:r>
            <w:r w:rsidR="007A4E0E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асної </w:t>
            </w:r>
            <w:r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держа</w:t>
            </w:r>
            <w:r w:rsidR="007A4E0E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вної а</w:t>
            </w:r>
            <w:r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дміністрації</w:t>
            </w:r>
            <w:r w:rsidR="007A4E0E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7A4E0E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br/>
            </w:r>
            <w:r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</w:t>
            </w:r>
            <w:r w:rsidR="006B0A1E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лист </w:t>
            </w:r>
            <w:r w:rsidR="007A4E0E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від </w:t>
            </w:r>
            <w:r w:rsidR="000630CD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7A4E0E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0630CD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="007A4E0E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="00502896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="00E45AF9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0A4C3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br/>
            </w:r>
            <w:r w:rsidR="007A4E0E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  <w:r w:rsidR="00DF7029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 </w:t>
            </w:r>
            <w:r w:rsidR="00AB1270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04-</w:t>
            </w:r>
            <w:r w:rsidR="000630CD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18</w:t>
            </w:r>
            <w:r w:rsidR="00382FC8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/</w:t>
            </w:r>
            <w:r w:rsidR="000630CD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2812</w:t>
            </w:r>
            <w:r w:rsidR="0040182A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/</w:t>
            </w:r>
            <w:r w:rsidR="000630CD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90</w:t>
            </w:r>
            <w:r w:rsidR="00382FC8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-2</w:t>
            </w:r>
            <w:r w:rsidR="002477D6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)</w:t>
            </w:r>
          </w:p>
        </w:tc>
        <w:tc>
          <w:tcPr>
            <w:tcW w:w="6804" w:type="dxa"/>
          </w:tcPr>
          <w:p w14:paraId="2DAE6F34" w14:textId="1C004455" w:rsidR="000A4C3F" w:rsidRPr="000A4C3F" w:rsidRDefault="00E700DF" w:rsidP="000A4C3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</w:t>
            </w:r>
            <w:proofErr w:type="spellEnd"/>
            <w:r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документу</w:t>
            </w:r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було </w:t>
            </w:r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запропоновано доповнити підрозділ 2.21 «Розвиток міст, районів та територіальних громад області» Програми заходом «Надання субвенції бюджету </w:t>
            </w:r>
            <w:proofErr w:type="spellStart"/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Лиманської</w:t>
            </w:r>
            <w:proofErr w:type="spellEnd"/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 Краматорського району Донецької області на здійснення природоохоронних заходів, а саме: придбання двох колісних екскаваторів-навантажувачів для упорядкування процесу збору та вивезення побутових відходів, відходів, що утворилися у зв`язку з пошкодженням (руйнуванням) будівель та споруд на території громади внаслідок бойових дій, терористичних актів, диверсій Російської Федерації проти України» (далі – захід) з обсягом фінансування 12 000,0 </w:t>
            </w:r>
            <w:proofErr w:type="spellStart"/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62A8174" w14:textId="60336604" w:rsidR="00166371" w:rsidRPr="000A4C3F" w:rsidRDefault="00E45AF9" w:rsidP="000A4C3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C20B03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метою </w:t>
            </w:r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оптимізації процесу </w:t>
            </w:r>
            <w:r w:rsidR="00E700D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коштів</w:t>
            </w:r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було </w:t>
            </w:r>
            <w:r w:rsidR="00E700D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змінено</w:t>
            </w:r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</w:t>
            </w:r>
            <w:r w:rsidR="00E700D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фінансування заходу, а саме </w:t>
            </w:r>
            <w:r w:rsidR="00E700D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перерахування міжбюджетного трансферту </w:t>
            </w:r>
            <w:proofErr w:type="spellStart"/>
            <w:r w:rsidR="00E700D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Сартанської</w:t>
            </w:r>
            <w:proofErr w:type="spellEnd"/>
            <w:r w:rsidR="00E700D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військово-цивільної адміністрації</w:t>
            </w:r>
            <w:commentRangeStart w:id="4"/>
            <w:commentRangeEnd w:id="4"/>
            <w:r w:rsidR="00E700DF" w:rsidRPr="000A4C3F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commentReference w:id="4"/>
            </w:r>
            <w:r w:rsid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замість</w:t>
            </w:r>
            <w:r w:rsidR="00E700D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субвенції з обласного бюджету.</w:t>
            </w:r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00D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зв’язку з чим </w:t>
            </w:r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пропонується зазначений </w:t>
            </w:r>
            <w:r w:rsidR="00FB183E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захід включити до підрозділу 2.24. «Охорона навколишнього природного середовища</w:t>
            </w:r>
            <w:r w:rsidR="00E700D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A4C3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 у такій редакції «Придбання машин для збирання побутових відходів та відходів, що утворилися через пошкодження (руйнування) будівель та споруд внаслідок бойових дій, терористичних актів, диверсій або проведення робіт з ліквідації їх наслідків, а саме: двох колісних екскаваторів-навантажувачів для </w:t>
            </w:r>
            <w:proofErr w:type="spellStart"/>
            <w:r w:rsidR="000A4C3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Лиманської</w:t>
            </w:r>
            <w:proofErr w:type="spellEnd"/>
            <w:r w:rsidR="000A4C3F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 Краматорського району Донецької област</w:t>
            </w:r>
            <w:r w:rsid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і»</w:t>
            </w:r>
            <w:r w:rsidR="00DF7029" w:rsidRPr="000A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4" w:type="dxa"/>
          </w:tcPr>
          <w:p w14:paraId="0530D90A" w14:textId="77777777" w:rsidR="00166371" w:rsidRPr="0045590A" w:rsidRDefault="00782D23" w:rsidP="000A4C3F">
            <w:pPr>
              <w:pStyle w:val="a5"/>
              <w:tabs>
                <w:tab w:val="left" w:pos="0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</w:pPr>
            <w:r w:rsidRPr="0045590A">
              <w:rPr>
                <w:rFonts w:ascii="Times New Roman" w:eastAsia="Times New Roman" w:hAnsi="Times New Roman" w:cs="Times New Roman"/>
                <w:b/>
                <w:position w:val="-1"/>
                <w:sz w:val="27"/>
                <w:szCs w:val="27"/>
                <w:lang w:val="uk-UA"/>
              </w:rPr>
              <w:lastRenderedPageBreak/>
              <w:t>Враховано.</w:t>
            </w:r>
            <w:r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 xml:space="preserve"> </w:t>
            </w:r>
            <w:r w:rsidR="00C20B03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 xml:space="preserve">Беручи до уваги, </w:t>
            </w:r>
            <w:r w:rsidR="002D7EA3" w:rsidRPr="0045590A">
              <w:rPr>
                <w:sz w:val="27"/>
                <w:szCs w:val="27"/>
              </w:rPr>
              <w:t xml:space="preserve"> </w:t>
            </w:r>
            <w:r w:rsidR="00E700DF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 xml:space="preserve">запропоновані пропозиції стоються лише джерела фінансування та </w:t>
            </w:r>
            <w:r w:rsidR="002D7EA3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 xml:space="preserve"> не </w:t>
            </w:r>
            <w:r w:rsidR="00E700DF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 xml:space="preserve">можуть </w:t>
            </w:r>
            <w:r w:rsidR="002D7EA3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>спричинит</w:t>
            </w:r>
            <w:r w:rsidR="00E700DF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>и</w:t>
            </w:r>
            <w:r w:rsidR="002D7EA3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 xml:space="preserve"> негативні наслідки для довкілля, у тому числі для здоров’я населення, </w:t>
            </w:r>
            <w:r w:rsidR="00E700DF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>зміни враховані у</w:t>
            </w:r>
            <w:r w:rsidR="002D7EA3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 xml:space="preserve"> Програм</w:t>
            </w:r>
            <w:r w:rsidR="00E700DF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 xml:space="preserve">і </w:t>
            </w:r>
            <w:r w:rsidR="002D7EA3" w:rsidRPr="0045590A">
              <w:rPr>
                <w:rFonts w:ascii="Times New Roman" w:eastAsia="Times New Roman" w:hAnsi="Times New Roman" w:cs="Times New Roman"/>
                <w:position w:val="-1"/>
                <w:sz w:val="27"/>
                <w:szCs w:val="27"/>
                <w:lang w:val="uk-UA"/>
              </w:rPr>
              <w:t xml:space="preserve">економічного і соціального розвитку Донецької області </w:t>
            </w:r>
            <w:r w:rsidR="00AB1270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 202</w:t>
            </w:r>
            <w:r w:rsidR="002477D6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="00AB1270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рік</w:t>
            </w:r>
            <w:r w:rsidR="00502896" w:rsidRPr="0045590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</w:tr>
      <w:bookmarkEnd w:id="3"/>
    </w:tbl>
    <w:p w14:paraId="137241D5" w14:textId="77777777" w:rsidR="00762D7B" w:rsidRPr="000A4C3F" w:rsidRDefault="00762D7B" w:rsidP="000A4C3F">
      <w:pPr>
        <w:widowControl w:val="0"/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sectPr w:rsidR="00762D7B" w:rsidRPr="000A4C3F" w:rsidSect="00762D7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DE ODA" w:date="2024-12-13T13:46:00Z" w:initials="DO">
    <w:p w14:paraId="1147A6C7" w14:textId="77777777" w:rsidR="00E700DF" w:rsidRDefault="00E700DF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47A6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47A6C7" w16cid:durableId="2B06CF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E"/>
    <w:multiLevelType w:val="hybridMultilevel"/>
    <w:tmpl w:val="9BBCFFC0"/>
    <w:lvl w:ilvl="0" w:tplc="FBCECB50">
      <w:start w:val="1"/>
      <w:numFmt w:val="decimal"/>
      <w:lvlText w:val="%1."/>
      <w:lvlJc w:val="left"/>
      <w:pPr>
        <w:ind w:left="0" w:firstLine="0"/>
      </w:pPr>
      <w:rPr>
        <w:b w:val="0"/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6F70B8"/>
    <w:multiLevelType w:val="hybridMultilevel"/>
    <w:tmpl w:val="0518A4C6"/>
    <w:lvl w:ilvl="0" w:tplc="4D7AB93E">
      <w:start w:val="3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1C3A1B51"/>
    <w:multiLevelType w:val="hybridMultilevel"/>
    <w:tmpl w:val="101C402A"/>
    <w:lvl w:ilvl="0" w:tplc="43B4B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393E"/>
    <w:multiLevelType w:val="multilevel"/>
    <w:tmpl w:val="6534DD6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 ODA">
    <w15:presenceInfo w15:providerId="None" w15:userId="DE 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7B"/>
    <w:rsid w:val="000009B4"/>
    <w:rsid w:val="00000AFB"/>
    <w:rsid w:val="00017966"/>
    <w:rsid w:val="00020543"/>
    <w:rsid w:val="00022BA8"/>
    <w:rsid w:val="000251AA"/>
    <w:rsid w:val="00036EF7"/>
    <w:rsid w:val="00040029"/>
    <w:rsid w:val="00040AF6"/>
    <w:rsid w:val="00043349"/>
    <w:rsid w:val="000503F3"/>
    <w:rsid w:val="00050426"/>
    <w:rsid w:val="000610B2"/>
    <w:rsid w:val="000630CD"/>
    <w:rsid w:val="000A4C3F"/>
    <w:rsid w:val="001010E9"/>
    <w:rsid w:val="00106609"/>
    <w:rsid w:val="0011170E"/>
    <w:rsid w:val="0011196A"/>
    <w:rsid w:val="00117930"/>
    <w:rsid w:val="00121AD4"/>
    <w:rsid w:val="00123E29"/>
    <w:rsid w:val="00125A3F"/>
    <w:rsid w:val="00136E0E"/>
    <w:rsid w:val="0014111D"/>
    <w:rsid w:val="00145F87"/>
    <w:rsid w:val="00162A92"/>
    <w:rsid w:val="00166371"/>
    <w:rsid w:val="00171875"/>
    <w:rsid w:val="00174FB8"/>
    <w:rsid w:val="00183091"/>
    <w:rsid w:val="001906B8"/>
    <w:rsid w:val="001A03F0"/>
    <w:rsid w:val="001B2325"/>
    <w:rsid w:val="001B3B6F"/>
    <w:rsid w:val="001C4008"/>
    <w:rsid w:val="001E153C"/>
    <w:rsid w:val="001F620E"/>
    <w:rsid w:val="001F7785"/>
    <w:rsid w:val="00210CB4"/>
    <w:rsid w:val="0021190B"/>
    <w:rsid w:val="00226311"/>
    <w:rsid w:val="00226904"/>
    <w:rsid w:val="00226BAC"/>
    <w:rsid w:val="00226D90"/>
    <w:rsid w:val="0024628B"/>
    <w:rsid w:val="002477D6"/>
    <w:rsid w:val="00250690"/>
    <w:rsid w:val="00251A65"/>
    <w:rsid w:val="00271429"/>
    <w:rsid w:val="002731D6"/>
    <w:rsid w:val="002807A8"/>
    <w:rsid w:val="002A0EFC"/>
    <w:rsid w:val="002B053F"/>
    <w:rsid w:val="002C490E"/>
    <w:rsid w:val="002D472C"/>
    <w:rsid w:val="002D75F8"/>
    <w:rsid w:val="002D7EA3"/>
    <w:rsid w:val="002E03C9"/>
    <w:rsid w:val="002E619D"/>
    <w:rsid w:val="002E6614"/>
    <w:rsid w:val="002F6767"/>
    <w:rsid w:val="00305798"/>
    <w:rsid w:val="003064EC"/>
    <w:rsid w:val="00310A3E"/>
    <w:rsid w:val="00314318"/>
    <w:rsid w:val="003362DB"/>
    <w:rsid w:val="00337BDE"/>
    <w:rsid w:val="00344335"/>
    <w:rsid w:val="00347C89"/>
    <w:rsid w:val="00354E38"/>
    <w:rsid w:val="003576EC"/>
    <w:rsid w:val="00377FD5"/>
    <w:rsid w:val="00380E04"/>
    <w:rsid w:val="00382E0B"/>
    <w:rsid w:val="00382FC8"/>
    <w:rsid w:val="003927A5"/>
    <w:rsid w:val="003A44C7"/>
    <w:rsid w:val="003B1557"/>
    <w:rsid w:val="003C50E0"/>
    <w:rsid w:val="003D7E9B"/>
    <w:rsid w:val="003E5B35"/>
    <w:rsid w:val="003E72C3"/>
    <w:rsid w:val="003F177C"/>
    <w:rsid w:val="003F340B"/>
    <w:rsid w:val="003F37DE"/>
    <w:rsid w:val="003F6B92"/>
    <w:rsid w:val="0040182A"/>
    <w:rsid w:val="00420B89"/>
    <w:rsid w:val="00425EC8"/>
    <w:rsid w:val="004319FA"/>
    <w:rsid w:val="0045590A"/>
    <w:rsid w:val="004605FC"/>
    <w:rsid w:val="0046095D"/>
    <w:rsid w:val="00461D55"/>
    <w:rsid w:val="00481F9E"/>
    <w:rsid w:val="004A3A21"/>
    <w:rsid w:val="004A4474"/>
    <w:rsid w:val="004A44B7"/>
    <w:rsid w:val="004A4DBB"/>
    <w:rsid w:val="004B2CBC"/>
    <w:rsid w:val="004B349E"/>
    <w:rsid w:val="004C3E9A"/>
    <w:rsid w:val="004D2BEB"/>
    <w:rsid w:val="004D474A"/>
    <w:rsid w:val="004E5F88"/>
    <w:rsid w:val="004F20C4"/>
    <w:rsid w:val="00502896"/>
    <w:rsid w:val="00513085"/>
    <w:rsid w:val="00514FB0"/>
    <w:rsid w:val="00521755"/>
    <w:rsid w:val="0052675D"/>
    <w:rsid w:val="0055325D"/>
    <w:rsid w:val="00573FB3"/>
    <w:rsid w:val="00595B5C"/>
    <w:rsid w:val="005B35F3"/>
    <w:rsid w:val="005C24AF"/>
    <w:rsid w:val="005C3D83"/>
    <w:rsid w:val="005C6254"/>
    <w:rsid w:val="005D4E3C"/>
    <w:rsid w:val="005F080B"/>
    <w:rsid w:val="00600158"/>
    <w:rsid w:val="00614FE6"/>
    <w:rsid w:val="00636166"/>
    <w:rsid w:val="00643D00"/>
    <w:rsid w:val="006503DE"/>
    <w:rsid w:val="00662287"/>
    <w:rsid w:val="006661AD"/>
    <w:rsid w:val="00676AB2"/>
    <w:rsid w:val="00676B5E"/>
    <w:rsid w:val="00686406"/>
    <w:rsid w:val="006928EA"/>
    <w:rsid w:val="006B0A1E"/>
    <w:rsid w:val="006B235C"/>
    <w:rsid w:val="006C5C4A"/>
    <w:rsid w:val="006D340E"/>
    <w:rsid w:val="006D3737"/>
    <w:rsid w:val="006D4F4A"/>
    <w:rsid w:val="006D54B9"/>
    <w:rsid w:val="006D591A"/>
    <w:rsid w:val="006E0BE2"/>
    <w:rsid w:val="006E101A"/>
    <w:rsid w:val="006E1D71"/>
    <w:rsid w:val="006E2E17"/>
    <w:rsid w:val="006F2531"/>
    <w:rsid w:val="00707CB7"/>
    <w:rsid w:val="00710E86"/>
    <w:rsid w:val="00716C1F"/>
    <w:rsid w:val="0072392B"/>
    <w:rsid w:val="00725B5D"/>
    <w:rsid w:val="00740536"/>
    <w:rsid w:val="007406C1"/>
    <w:rsid w:val="007410FC"/>
    <w:rsid w:val="00757A5E"/>
    <w:rsid w:val="0076189F"/>
    <w:rsid w:val="00762D7B"/>
    <w:rsid w:val="00780CB6"/>
    <w:rsid w:val="00782D23"/>
    <w:rsid w:val="00794065"/>
    <w:rsid w:val="007A28D5"/>
    <w:rsid w:val="007A4E0E"/>
    <w:rsid w:val="007A675D"/>
    <w:rsid w:val="007A6917"/>
    <w:rsid w:val="007C022C"/>
    <w:rsid w:val="007C07D6"/>
    <w:rsid w:val="007E0F4E"/>
    <w:rsid w:val="0080091F"/>
    <w:rsid w:val="00805FD3"/>
    <w:rsid w:val="00812645"/>
    <w:rsid w:val="0081434F"/>
    <w:rsid w:val="00822266"/>
    <w:rsid w:val="00860BB0"/>
    <w:rsid w:val="0088032C"/>
    <w:rsid w:val="008A4A88"/>
    <w:rsid w:val="008B1B56"/>
    <w:rsid w:val="008C0B75"/>
    <w:rsid w:val="008C38EE"/>
    <w:rsid w:val="0090597D"/>
    <w:rsid w:val="00947E11"/>
    <w:rsid w:val="0095768B"/>
    <w:rsid w:val="00962189"/>
    <w:rsid w:val="00984BC3"/>
    <w:rsid w:val="009A1161"/>
    <w:rsid w:val="009B619E"/>
    <w:rsid w:val="009D4061"/>
    <w:rsid w:val="009D4B7F"/>
    <w:rsid w:val="009E3895"/>
    <w:rsid w:val="009F2C53"/>
    <w:rsid w:val="00A065A1"/>
    <w:rsid w:val="00A129C1"/>
    <w:rsid w:val="00A14889"/>
    <w:rsid w:val="00A218A6"/>
    <w:rsid w:val="00A27E36"/>
    <w:rsid w:val="00A30781"/>
    <w:rsid w:val="00A427FE"/>
    <w:rsid w:val="00A51792"/>
    <w:rsid w:val="00A5350A"/>
    <w:rsid w:val="00A6527C"/>
    <w:rsid w:val="00A813BF"/>
    <w:rsid w:val="00A87819"/>
    <w:rsid w:val="00AA3C6D"/>
    <w:rsid w:val="00AA5C04"/>
    <w:rsid w:val="00AB1270"/>
    <w:rsid w:val="00AB391E"/>
    <w:rsid w:val="00AC2276"/>
    <w:rsid w:val="00AE4626"/>
    <w:rsid w:val="00AE46DD"/>
    <w:rsid w:val="00AE7FA8"/>
    <w:rsid w:val="00AF4AFF"/>
    <w:rsid w:val="00B040B8"/>
    <w:rsid w:val="00B07A30"/>
    <w:rsid w:val="00B323B7"/>
    <w:rsid w:val="00B3623A"/>
    <w:rsid w:val="00B655EB"/>
    <w:rsid w:val="00B743EC"/>
    <w:rsid w:val="00B83414"/>
    <w:rsid w:val="00BB2955"/>
    <w:rsid w:val="00BD7C70"/>
    <w:rsid w:val="00BE03A0"/>
    <w:rsid w:val="00BE49D7"/>
    <w:rsid w:val="00C139E1"/>
    <w:rsid w:val="00C20B03"/>
    <w:rsid w:val="00C2648A"/>
    <w:rsid w:val="00C67F36"/>
    <w:rsid w:val="00C83655"/>
    <w:rsid w:val="00C873B0"/>
    <w:rsid w:val="00C96A6D"/>
    <w:rsid w:val="00C97390"/>
    <w:rsid w:val="00CB4CF7"/>
    <w:rsid w:val="00CD29ED"/>
    <w:rsid w:val="00D122B0"/>
    <w:rsid w:val="00D12B5F"/>
    <w:rsid w:val="00D36D43"/>
    <w:rsid w:val="00D43867"/>
    <w:rsid w:val="00D43EBB"/>
    <w:rsid w:val="00D5144B"/>
    <w:rsid w:val="00D71355"/>
    <w:rsid w:val="00D77545"/>
    <w:rsid w:val="00D8069B"/>
    <w:rsid w:val="00D90201"/>
    <w:rsid w:val="00D9337D"/>
    <w:rsid w:val="00DA62F0"/>
    <w:rsid w:val="00DA6528"/>
    <w:rsid w:val="00DA6698"/>
    <w:rsid w:val="00DA7F23"/>
    <w:rsid w:val="00DB69D0"/>
    <w:rsid w:val="00DC4DA3"/>
    <w:rsid w:val="00DF65D6"/>
    <w:rsid w:val="00DF7029"/>
    <w:rsid w:val="00E11840"/>
    <w:rsid w:val="00E41BAD"/>
    <w:rsid w:val="00E45AF9"/>
    <w:rsid w:val="00E51A15"/>
    <w:rsid w:val="00E700DF"/>
    <w:rsid w:val="00E75817"/>
    <w:rsid w:val="00E92CCD"/>
    <w:rsid w:val="00E937E4"/>
    <w:rsid w:val="00EC0032"/>
    <w:rsid w:val="00EC1C1B"/>
    <w:rsid w:val="00EC51BF"/>
    <w:rsid w:val="00ED1BF4"/>
    <w:rsid w:val="00ED780E"/>
    <w:rsid w:val="00EE2DE8"/>
    <w:rsid w:val="00F01E23"/>
    <w:rsid w:val="00F10BBE"/>
    <w:rsid w:val="00F40992"/>
    <w:rsid w:val="00F55042"/>
    <w:rsid w:val="00F564CB"/>
    <w:rsid w:val="00F604BE"/>
    <w:rsid w:val="00F60C34"/>
    <w:rsid w:val="00F64621"/>
    <w:rsid w:val="00F80675"/>
    <w:rsid w:val="00F8107D"/>
    <w:rsid w:val="00F87F0B"/>
    <w:rsid w:val="00F92585"/>
    <w:rsid w:val="00F938DE"/>
    <w:rsid w:val="00F93BC6"/>
    <w:rsid w:val="00FA1176"/>
    <w:rsid w:val="00FB183E"/>
    <w:rsid w:val="00FC4B6D"/>
    <w:rsid w:val="00FE2FB8"/>
    <w:rsid w:val="00FF361F"/>
    <w:rsid w:val="00FF37F3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EB0F"/>
  <w15:docId w15:val="{52AAAEA0-4158-4FAB-82DF-ACCC12B3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27C"/>
    <w:pPr>
      <w:ind w:left="720"/>
      <w:contextualSpacing/>
    </w:pPr>
  </w:style>
  <w:style w:type="character" w:customStyle="1" w:styleId="12">
    <w:name w:val="Основной текст (12)_"/>
    <w:link w:val="120"/>
    <w:locked/>
    <w:rsid w:val="00040AF6"/>
    <w:rPr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40AF6"/>
    <w:pPr>
      <w:widowControl w:val="0"/>
      <w:shd w:val="clear" w:color="auto" w:fill="FFFFFF"/>
      <w:spacing w:after="0" w:line="514" w:lineRule="exact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3E72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E72C3"/>
  </w:style>
  <w:style w:type="paragraph" w:styleId="a7">
    <w:name w:val="Balloon Text"/>
    <w:basedOn w:val="a"/>
    <w:link w:val="a8"/>
    <w:uiPriority w:val="99"/>
    <w:semiHidden/>
    <w:unhideWhenUsed/>
    <w:rsid w:val="0067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AB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700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00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00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00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0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1D8F-D911-41CA-AE39-214E5C9E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DE ODA</cp:lastModifiedBy>
  <cp:revision>2</cp:revision>
  <cp:lastPrinted>2022-01-13T12:53:00Z</cp:lastPrinted>
  <dcterms:created xsi:type="dcterms:W3CDTF">2024-12-13T13:22:00Z</dcterms:created>
  <dcterms:modified xsi:type="dcterms:W3CDTF">2024-12-13T13:22:00Z</dcterms:modified>
</cp:coreProperties>
</file>