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3D" w:rsidRDefault="00C4463D" w:rsidP="00C446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object w:dxaOrig="105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0.75pt" o:ole="">
            <v:imagedata r:id="rId6" o:title=""/>
          </v:shape>
          <o:OLEObject Type="Embed" ProgID="Word.Picture.8" ShapeID="_x0000_i1025" DrawAspect="Content" ObjectID="_1554534929" r:id="rId7"/>
        </w:object>
      </w:r>
    </w:p>
    <w:p w:rsidR="00C4463D" w:rsidRDefault="00C4463D" w:rsidP="00C4463D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C4463D" w:rsidRDefault="00C4463D" w:rsidP="00C4463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СОНЦ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ВСЬКА  СІЛЬСЬКА РАДА</w:t>
      </w:r>
    </w:p>
    <w:p w:rsidR="00C4463D" w:rsidRDefault="00C4463D" w:rsidP="00C4463D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/>
        </w:rPr>
        <w:t>ПОКРОВСЬКОГО</w:t>
      </w:r>
      <w:r>
        <w:rPr>
          <w:rFonts w:ascii="Times New Roman" w:hAnsi="Times New Roman"/>
          <w:b/>
          <w:sz w:val="28"/>
        </w:rPr>
        <w:t xml:space="preserve">  РАЙОНУ  ДОНЕЦЬКОЇ  ОБЛАСТІ</w:t>
      </w:r>
    </w:p>
    <w:p w:rsidR="00C4463D" w:rsidRDefault="00C4463D" w:rsidP="00C4463D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6"/>
          <w:szCs w:val="36"/>
        </w:rPr>
        <w:t xml:space="preserve">Р І Ш Е Н </w:t>
      </w:r>
      <w:proofErr w:type="spellStart"/>
      <w:r>
        <w:rPr>
          <w:rFonts w:ascii="Times New Roman" w:hAnsi="Times New Roman"/>
          <w:b/>
          <w:sz w:val="36"/>
          <w:szCs w:val="36"/>
        </w:rPr>
        <w:t>Н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Я</w:t>
      </w:r>
    </w:p>
    <w:p w:rsidR="00C4463D" w:rsidRDefault="00C4463D" w:rsidP="00C4463D">
      <w:pPr>
        <w:pStyle w:val="a5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</w:rPr>
        <w:t>___________________________________________________</w:t>
      </w:r>
    </w:p>
    <w:p w:rsidR="00C4463D" w:rsidRDefault="00C4463D" w:rsidP="00C4463D">
      <w:pPr>
        <w:pStyle w:val="a3"/>
        <w:spacing w:after="0"/>
        <w:ind w:left="0"/>
        <w:jc w:val="both"/>
        <w:rPr>
          <w:b/>
          <w:sz w:val="16"/>
          <w:szCs w:val="16"/>
          <w:lang w:val="uk-UA"/>
        </w:rPr>
      </w:pPr>
    </w:p>
    <w:p w:rsidR="00C4463D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24.02.2017  № УІІ/17-6</w:t>
      </w:r>
    </w:p>
    <w:p w:rsidR="00C4463D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с.Сонцівка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463D" w:rsidRDefault="00C4463D" w:rsidP="00C446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4463D" w:rsidRDefault="00C4463D" w:rsidP="00C446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сільської ради</w:t>
      </w:r>
    </w:p>
    <w:p w:rsidR="00C4463D" w:rsidRDefault="00C4463D" w:rsidP="00C446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17.01.2012 року № У1/ХІХ-1 «Про встановлення  ставок </w:t>
      </w:r>
    </w:p>
    <w:p w:rsidR="00C4463D" w:rsidRDefault="00C4463D" w:rsidP="00C4463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єдиного податку  для фізичних осіб – підприємців»</w:t>
      </w:r>
    </w:p>
    <w:p w:rsidR="00C4463D" w:rsidRDefault="00C4463D" w:rsidP="00C44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63D" w:rsidRDefault="00C4463D" w:rsidP="00C44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У зв’язку з прийняттям Закону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 від 20.12.2016 № 1791- У111, керуючись статтями 291-300 глави 1 розділу ХІУ Податкового кодексу України , частини 1 пункту 24 статті 26 Закону України «Про місцеве самоврядування в Україні», сільська рада</w:t>
      </w:r>
    </w:p>
    <w:p w:rsidR="00C4463D" w:rsidRDefault="00C4463D" w:rsidP="00C44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63D" w:rsidRDefault="00C4463D" w:rsidP="00C44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 :</w:t>
      </w:r>
    </w:p>
    <w:p w:rsidR="00C4463D" w:rsidRDefault="00C4463D" w:rsidP="00C44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63D" w:rsidRDefault="00C4463D" w:rsidP="00C446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до Положення про єдиний податок для фізичних осіб – підприємців, затвердженого рішенням сільської ради від 17.01.2012 </w:t>
      </w:r>
    </w:p>
    <w:p w:rsidR="00C4463D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№ У1/ХІХ-1 «Про встановлення ставок єдиного податку для фізичних                  </w:t>
      </w:r>
    </w:p>
    <w:p w:rsidR="00C4463D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осіб – підприємців» (зі змінами від 05.03.2015  № 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>/60-1)</w:t>
      </w:r>
    </w:p>
    <w:p w:rsidR="00C4463D" w:rsidRDefault="00C4463D" w:rsidP="00C446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63D" w:rsidRDefault="00C4463D" w:rsidP="00C4463D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«Ставки податку» викласти у новій редакції :</w:t>
      </w:r>
    </w:p>
    <w:p w:rsidR="00C4463D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«Встановити фіксовані ставки єдиного податку, встановлені законом на   </w:t>
      </w:r>
    </w:p>
    <w:p w:rsidR="00C4463D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1 січня податкового (звітного) року :</w:t>
      </w:r>
    </w:p>
    <w:p w:rsidR="00C4463D" w:rsidRDefault="00C4463D" w:rsidP="00C4463D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платників першої групи у розмірі 10% до розміру прожиткового мінімуму ;</w:t>
      </w:r>
    </w:p>
    <w:p w:rsidR="00C4463D" w:rsidRDefault="00C4463D" w:rsidP="00C4463D">
      <w:pPr>
        <w:pStyle w:val="a6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платників другої групи у розмірі 20%  до розміру мінімальної заробітної плати;</w:t>
      </w:r>
    </w:p>
    <w:p w:rsidR="00C4463D" w:rsidRDefault="00C4463D" w:rsidP="00C4463D">
      <w:pPr>
        <w:pStyle w:val="a6"/>
        <w:jc w:val="both"/>
        <w:rPr>
          <w:sz w:val="28"/>
          <w:szCs w:val="28"/>
          <w:lang w:val="uk-UA"/>
        </w:rPr>
      </w:pPr>
    </w:p>
    <w:p w:rsidR="00C4463D" w:rsidRDefault="00C4463D" w:rsidP="00C4463D">
      <w:pPr>
        <w:pStyle w:val="a6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 «База оподаткування»  виключити .</w:t>
      </w:r>
    </w:p>
    <w:p w:rsidR="00C4463D" w:rsidRDefault="00C4463D" w:rsidP="00C4463D">
      <w:pPr>
        <w:pStyle w:val="a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Рішення набирає чинність з дати його прийняття. </w:t>
      </w:r>
    </w:p>
    <w:p w:rsidR="00C4463D" w:rsidRDefault="00C4463D" w:rsidP="00C4463D">
      <w:pPr>
        <w:rPr>
          <w:sz w:val="28"/>
          <w:szCs w:val="28"/>
          <w:lang w:val="uk-UA"/>
        </w:rPr>
      </w:pPr>
    </w:p>
    <w:p w:rsidR="00C4463D" w:rsidRDefault="00C4463D" w:rsidP="00C4463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П.І.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Кудінов</w:t>
      </w:r>
      <w:proofErr w:type="spellEnd"/>
    </w:p>
    <w:p w:rsidR="00C4463D" w:rsidRPr="00512EF4" w:rsidRDefault="00C4463D" w:rsidP="00C4463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512EF4">
        <w:rPr>
          <w:rFonts w:ascii="Times New Roman" w:hAnsi="Times New Roman"/>
          <w:b/>
          <w:sz w:val="32"/>
          <w:szCs w:val="32"/>
        </w:rPr>
        <w:object w:dxaOrig="1045" w:dyaOrig="1213">
          <v:shape id="_x0000_i1026" type="#_x0000_t75" style="width:52.5pt;height:60.75pt" o:ole="">
            <v:imagedata r:id="rId6" o:title=""/>
          </v:shape>
          <o:OLEObject Type="Embed" ProgID="Word.Picture.8" ShapeID="_x0000_i1026" DrawAspect="Content" ObjectID="_1554534930" r:id="rId8"/>
        </w:object>
      </w:r>
    </w:p>
    <w:p w:rsidR="00C4463D" w:rsidRPr="00512EF4" w:rsidRDefault="00C4463D" w:rsidP="00C4463D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512EF4">
        <w:rPr>
          <w:rFonts w:ascii="Times New Roman" w:hAnsi="Times New Roman"/>
          <w:b/>
          <w:sz w:val="32"/>
          <w:szCs w:val="32"/>
        </w:rPr>
        <w:t>У К Р А Ї Н А</w:t>
      </w:r>
    </w:p>
    <w:p w:rsidR="00C4463D" w:rsidRPr="00512EF4" w:rsidRDefault="00C4463D" w:rsidP="00C4463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СОНЦ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</w:rPr>
        <w:t>ВСЬКА</w:t>
      </w:r>
      <w:r w:rsidRPr="00512EF4">
        <w:rPr>
          <w:rFonts w:ascii="Times New Roman" w:hAnsi="Times New Roman"/>
          <w:b/>
          <w:sz w:val="28"/>
          <w:szCs w:val="28"/>
        </w:rPr>
        <w:t xml:space="preserve">  СІЛЬСЬКА РАДА</w:t>
      </w:r>
    </w:p>
    <w:p w:rsidR="00C4463D" w:rsidRDefault="00C4463D" w:rsidP="00C4463D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/>
        </w:rPr>
        <w:t>ПОКРОВСЬКОГО</w:t>
      </w:r>
      <w:r w:rsidRPr="00512EF4">
        <w:rPr>
          <w:rFonts w:ascii="Times New Roman" w:hAnsi="Times New Roman"/>
          <w:b/>
          <w:sz w:val="28"/>
        </w:rPr>
        <w:t xml:space="preserve">  РАЙОНУ  ДОНЕЦЬКОЇ  ОБЛАСТІ</w:t>
      </w:r>
    </w:p>
    <w:p w:rsidR="00C4463D" w:rsidRPr="00512EF4" w:rsidRDefault="00C4463D" w:rsidP="00C4463D">
      <w:pPr>
        <w:pStyle w:val="a5"/>
        <w:jc w:val="center"/>
        <w:rPr>
          <w:rFonts w:ascii="Times New Roman" w:hAnsi="Times New Roman"/>
          <w:b/>
          <w:sz w:val="28"/>
        </w:rPr>
      </w:pPr>
      <w:r w:rsidRPr="00512EF4">
        <w:rPr>
          <w:rFonts w:ascii="Times New Roman" w:hAnsi="Times New Roman"/>
          <w:b/>
          <w:sz w:val="36"/>
          <w:szCs w:val="36"/>
        </w:rPr>
        <w:t xml:space="preserve">Р І Ш Е Н </w:t>
      </w:r>
      <w:proofErr w:type="spellStart"/>
      <w:r w:rsidRPr="00512EF4">
        <w:rPr>
          <w:rFonts w:ascii="Times New Roman" w:hAnsi="Times New Roman"/>
          <w:b/>
          <w:sz w:val="36"/>
          <w:szCs w:val="36"/>
        </w:rPr>
        <w:t>Н</w:t>
      </w:r>
      <w:proofErr w:type="spellEnd"/>
      <w:r w:rsidRPr="00512EF4">
        <w:rPr>
          <w:rFonts w:ascii="Times New Roman" w:hAnsi="Times New Roman"/>
          <w:b/>
          <w:sz w:val="36"/>
          <w:szCs w:val="36"/>
        </w:rPr>
        <w:t xml:space="preserve"> Я</w:t>
      </w:r>
    </w:p>
    <w:p w:rsidR="00C4463D" w:rsidRPr="00512EF4" w:rsidRDefault="00C4463D" w:rsidP="00C4463D">
      <w:pPr>
        <w:pStyle w:val="a5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</w:rPr>
        <w:t>___________________________________________________</w:t>
      </w:r>
    </w:p>
    <w:p w:rsidR="00C4463D" w:rsidRPr="00430DA7" w:rsidRDefault="00C4463D" w:rsidP="00C4463D">
      <w:pPr>
        <w:pStyle w:val="a3"/>
        <w:spacing w:after="0"/>
        <w:ind w:left="0"/>
        <w:jc w:val="both"/>
        <w:rPr>
          <w:b/>
          <w:sz w:val="16"/>
          <w:szCs w:val="16"/>
          <w:lang w:val="uk-UA"/>
        </w:rPr>
      </w:pPr>
    </w:p>
    <w:p w:rsidR="00C4463D" w:rsidRPr="001F4E18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512EF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24.02.2017 № УІІ/17-7</w:t>
      </w:r>
    </w:p>
    <w:p w:rsidR="00C4463D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12EF4">
        <w:rPr>
          <w:rFonts w:ascii="Times New Roman" w:hAnsi="Times New Roman"/>
          <w:sz w:val="28"/>
          <w:szCs w:val="28"/>
          <w:lang w:val="uk-UA"/>
        </w:rPr>
        <w:t>с.Сонцівка</w:t>
      </w:r>
      <w:proofErr w:type="spellEnd"/>
      <w:r w:rsidRPr="00512E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4463D" w:rsidRPr="00E65277" w:rsidRDefault="00C4463D" w:rsidP="00C4463D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C4463D" w:rsidRPr="00E65277" w:rsidRDefault="00C4463D" w:rsidP="00C4463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податок  на нерухоме  майно, </w:t>
      </w:r>
    </w:p>
    <w:p w:rsidR="00C4463D" w:rsidRPr="00E65277" w:rsidRDefault="00C4463D" w:rsidP="00C4463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>відмінне  від земельної ділянки у 2017 році»</w:t>
      </w:r>
    </w:p>
    <w:p w:rsidR="00C4463D" w:rsidRPr="00E65277" w:rsidRDefault="00C4463D" w:rsidP="00C446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463D" w:rsidRPr="00E65277" w:rsidRDefault="00C4463D" w:rsidP="00C446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У зв’язку з прийняттям Закону України «Про Державний бюджет України на 2017 рік»,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 , керуючись ст.ст. 7, 10, 12, 266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Податкового кодексу України,  ч.1 п. 24 ст.26 Закону України «Про місцеве самоврядування в Україні», сільська рада  </w:t>
      </w:r>
    </w:p>
    <w:p w:rsidR="00C4463D" w:rsidRPr="00E65277" w:rsidRDefault="00C4463D" w:rsidP="00C446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463D" w:rsidRPr="00E65277" w:rsidRDefault="00C4463D" w:rsidP="00C446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>ВИРІШИЛА:</w:t>
      </w:r>
    </w:p>
    <w:p w:rsidR="00C4463D" w:rsidRPr="00E65277" w:rsidRDefault="00C4463D" w:rsidP="00C446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C4463D" w:rsidRDefault="00C4463D" w:rsidP="00C4463D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Встановити, що у 2017 році для визначення розмірів ставок податку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</w:p>
    <w:p w:rsidR="00C4463D" w:rsidRDefault="00C4463D" w:rsidP="00C4463D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н</w:t>
      </w: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а нерухоме  майно, відмінне від земельної ділянки для фізичних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C4463D" w:rsidRDefault="00C4463D" w:rsidP="00C4463D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юридичних осіб для об’єктів житлової/нежитлової нерухомості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C4463D" w:rsidRDefault="00C4463D" w:rsidP="00C4463D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застосовуються ставки податку  на нерухоме  майно, встановлені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p w:rsidR="00C4463D" w:rsidRPr="00726EB5" w:rsidRDefault="00C4463D" w:rsidP="00C4463D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E65277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 сільської </w:t>
      </w:r>
      <w:r w:rsidRPr="00726EB5">
        <w:rPr>
          <w:rFonts w:ascii="Times New Roman" w:hAnsi="Times New Roman"/>
          <w:sz w:val="28"/>
          <w:szCs w:val="28"/>
          <w:lang w:val="uk-UA"/>
        </w:rPr>
        <w:t xml:space="preserve">ради  від 14.12.2015 № УІІ/3-1 «Про встановлення </w:t>
      </w:r>
    </w:p>
    <w:p w:rsidR="00C4463D" w:rsidRPr="00726EB5" w:rsidRDefault="00C4463D" w:rsidP="00C4463D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726EB5">
        <w:rPr>
          <w:rFonts w:ascii="Times New Roman" w:hAnsi="Times New Roman"/>
          <w:sz w:val="28"/>
          <w:szCs w:val="28"/>
          <w:lang w:val="uk-UA"/>
        </w:rPr>
        <w:t xml:space="preserve">    податку на нерухоме майно, відмінне від земельної ділянки» (зі  </w:t>
      </w:r>
    </w:p>
    <w:p w:rsidR="00C4463D" w:rsidRPr="00726EB5" w:rsidRDefault="00C4463D" w:rsidP="00C4463D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 w:rsidRPr="00726EB5">
        <w:rPr>
          <w:rFonts w:ascii="Times New Roman" w:hAnsi="Times New Roman"/>
          <w:sz w:val="28"/>
          <w:szCs w:val="28"/>
          <w:lang w:val="uk-UA"/>
        </w:rPr>
        <w:t xml:space="preserve">    змінами від 19.02.2016 № УІІ/ 6-4.</w:t>
      </w:r>
    </w:p>
    <w:p w:rsidR="00C4463D" w:rsidRPr="00E65277" w:rsidRDefault="00C4463D" w:rsidP="00C4463D">
      <w:pPr>
        <w:pStyle w:val="a6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E65277">
        <w:rPr>
          <w:color w:val="000000"/>
          <w:sz w:val="28"/>
          <w:szCs w:val="28"/>
          <w:lang w:val="uk-UA"/>
        </w:rPr>
        <w:t>Це рішення набуває чинності з 1 березня 2017 року</w:t>
      </w:r>
    </w:p>
    <w:p w:rsidR="00C4463D" w:rsidRPr="00E65277" w:rsidRDefault="00C4463D" w:rsidP="00C4463D">
      <w:pPr>
        <w:pStyle w:val="a6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E65277">
        <w:rPr>
          <w:color w:val="000000"/>
          <w:sz w:val="28"/>
          <w:szCs w:val="28"/>
          <w:lang w:val="uk-UA"/>
        </w:rPr>
        <w:t>Оприлюднити дане рішення в регіональної газеті « Маяк».</w:t>
      </w:r>
    </w:p>
    <w:p w:rsidR="00C4463D" w:rsidRDefault="00C4463D" w:rsidP="00C4463D">
      <w:pPr>
        <w:pStyle w:val="a6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E65277">
        <w:rPr>
          <w:color w:val="000000"/>
          <w:sz w:val="28"/>
          <w:szCs w:val="28"/>
          <w:lang w:val="uk-UA"/>
        </w:rPr>
        <w:t xml:space="preserve">Подати рішення до Покровської ОДПІ у 10-денний термін з дня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C4463D" w:rsidRPr="00E65277" w:rsidRDefault="00C4463D" w:rsidP="00C4463D">
      <w:pPr>
        <w:pStyle w:val="a6"/>
        <w:tabs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E65277">
        <w:rPr>
          <w:color w:val="000000"/>
          <w:sz w:val="28"/>
          <w:szCs w:val="28"/>
          <w:lang w:val="uk-UA"/>
        </w:rPr>
        <w:t>прийняття.</w:t>
      </w:r>
    </w:p>
    <w:p w:rsidR="00C4463D" w:rsidRDefault="00C4463D" w:rsidP="00C4463D">
      <w:pPr>
        <w:pStyle w:val="a6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E65277">
        <w:rPr>
          <w:color w:val="000000"/>
          <w:sz w:val="28"/>
          <w:szCs w:val="28"/>
          <w:lang w:val="uk-UA"/>
        </w:rPr>
        <w:t xml:space="preserve">Контроль за виконання даного рішення покласти на депутатську </w:t>
      </w:r>
      <w:r>
        <w:rPr>
          <w:color w:val="000000"/>
          <w:sz w:val="28"/>
          <w:szCs w:val="28"/>
          <w:lang w:val="uk-UA"/>
        </w:rPr>
        <w:t xml:space="preserve">    </w:t>
      </w:r>
    </w:p>
    <w:p w:rsidR="00C4463D" w:rsidRDefault="00C4463D" w:rsidP="00C4463D">
      <w:pPr>
        <w:pStyle w:val="a6"/>
        <w:tabs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E65277">
        <w:rPr>
          <w:color w:val="000000"/>
          <w:sz w:val="28"/>
          <w:szCs w:val="28"/>
          <w:lang w:val="uk-UA"/>
        </w:rPr>
        <w:t>комі</w:t>
      </w:r>
      <w:r>
        <w:rPr>
          <w:color w:val="000000"/>
          <w:sz w:val="28"/>
          <w:szCs w:val="28"/>
          <w:lang w:val="uk-UA"/>
        </w:rPr>
        <w:t>сію з питань планування бюджету, фінансів</w:t>
      </w:r>
      <w:r w:rsidRPr="00E65277">
        <w:rPr>
          <w:color w:val="000000"/>
          <w:sz w:val="28"/>
          <w:szCs w:val="28"/>
          <w:lang w:val="uk-UA"/>
        </w:rPr>
        <w:t>, соціально</w:t>
      </w:r>
      <w:r>
        <w:rPr>
          <w:color w:val="000000"/>
          <w:sz w:val="28"/>
          <w:szCs w:val="28"/>
          <w:lang w:val="uk-UA"/>
        </w:rPr>
        <w:t>го,</w:t>
      </w:r>
      <w:r w:rsidRPr="00E6527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C4463D" w:rsidRPr="00E65277" w:rsidRDefault="00C4463D" w:rsidP="00C4463D">
      <w:pPr>
        <w:pStyle w:val="a6"/>
        <w:tabs>
          <w:tab w:val="left" w:pos="993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 w:rsidRPr="00E65277">
        <w:rPr>
          <w:color w:val="000000"/>
          <w:sz w:val="28"/>
          <w:szCs w:val="28"/>
          <w:lang w:val="uk-UA"/>
        </w:rPr>
        <w:t>економічного та культурного розвитку села</w:t>
      </w:r>
      <w:r>
        <w:rPr>
          <w:color w:val="000000"/>
          <w:sz w:val="28"/>
          <w:szCs w:val="28"/>
          <w:lang w:val="uk-UA"/>
        </w:rPr>
        <w:t>.</w:t>
      </w:r>
      <w:r w:rsidRPr="00E65277">
        <w:rPr>
          <w:color w:val="000000"/>
          <w:sz w:val="28"/>
          <w:szCs w:val="28"/>
          <w:lang w:val="uk-UA"/>
        </w:rPr>
        <w:t xml:space="preserve"> </w:t>
      </w:r>
    </w:p>
    <w:p w:rsidR="00C4463D" w:rsidRPr="00E65277" w:rsidRDefault="00C4463D" w:rsidP="00C4463D">
      <w:pPr>
        <w:pStyle w:val="a6"/>
        <w:tabs>
          <w:tab w:val="left" w:pos="1134"/>
        </w:tabs>
        <w:ind w:left="0"/>
        <w:jc w:val="both"/>
        <w:rPr>
          <w:color w:val="000000"/>
          <w:sz w:val="28"/>
          <w:szCs w:val="28"/>
          <w:lang w:val="uk-UA"/>
        </w:rPr>
      </w:pPr>
    </w:p>
    <w:p w:rsidR="00C4463D" w:rsidRPr="00E65277" w:rsidRDefault="00C4463D" w:rsidP="00C4463D">
      <w:pPr>
        <w:pStyle w:val="a6"/>
        <w:tabs>
          <w:tab w:val="left" w:pos="1134"/>
        </w:tabs>
        <w:ind w:left="0"/>
        <w:jc w:val="both"/>
        <w:rPr>
          <w:color w:val="000000"/>
          <w:sz w:val="28"/>
          <w:szCs w:val="28"/>
          <w:lang w:val="uk-UA"/>
        </w:rPr>
      </w:pPr>
    </w:p>
    <w:p w:rsidR="00C4463D" w:rsidRPr="00770BB5" w:rsidRDefault="00C4463D" w:rsidP="00C4463D">
      <w:pPr>
        <w:rPr>
          <w:rFonts w:ascii="Times New Roman" w:hAnsi="Times New Roman"/>
          <w:sz w:val="28"/>
          <w:szCs w:val="28"/>
          <w:lang w:val="uk-UA"/>
        </w:rPr>
      </w:pPr>
      <w:r w:rsidRPr="006B1585"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П.І.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Кудінов</w:t>
      </w:r>
      <w:proofErr w:type="spellEnd"/>
    </w:p>
    <w:p w:rsidR="007065A1" w:rsidRDefault="007065A1" w:rsidP="007065A1">
      <w:pPr>
        <w:pStyle w:val="a5"/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</w:rPr>
        <w:object w:dxaOrig="1050" w:dyaOrig="1215">
          <v:shape id="_x0000_i1027" type="#_x0000_t75" style="width:52.5pt;height:60.75pt" o:ole="">
            <v:imagedata r:id="rId6" o:title=""/>
          </v:shape>
          <o:OLEObject Type="Embed" ProgID="Word.Picture.8" ShapeID="_x0000_i1027" DrawAspect="Content" ObjectID="_1554534931" r:id="rId9"/>
        </w:object>
      </w:r>
    </w:p>
    <w:p w:rsidR="007065A1" w:rsidRDefault="007065A1" w:rsidP="007065A1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 К Р А Ї Н А</w:t>
      </w:r>
    </w:p>
    <w:p w:rsidR="007065A1" w:rsidRDefault="007065A1" w:rsidP="007065A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СОНЦІВСЬКА</w:t>
      </w:r>
      <w:r>
        <w:rPr>
          <w:rFonts w:ascii="Times New Roman" w:hAnsi="Times New Roman"/>
          <w:b/>
          <w:sz w:val="28"/>
          <w:szCs w:val="28"/>
        </w:rPr>
        <w:t xml:space="preserve">  СІЛЬСЬКА РАДА</w:t>
      </w:r>
    </w:p>
    <w:p w:rsidR="007065A1" w:rsidRDefault="007065A1" w:rsidP="007065A1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uk-UA"/>
        </w:rPr>
        <w:t>ПОКРОВСЬКОГО</w:t>
      </w:r>
      <w:r>
        <w:rPr>
          <w:rFonts w:ascii="Times New Roman" w:hAnsi="Times New Roman"/>
          <w:b/>
          <w:sz w:val="28"/>
        </w:rPr>
        <w:t xml:space="preserve">  РАЙОНУ  ДОНЕЦЬКОЇ  ОБЛАСТІ</w:t>
      </w:r>
    </w:p>
    <w:p w:rsidR="007065A1" w:rsidRDefault="007065A1" w:rsidP="007065A1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 І Ш Е Н </w:t>
      </w:r>
      <w:proofErr w:type="spellStart"/>
      <w:r>
        <w:rPr>
          <w:rFonts w:ascii="Times New Roman" w:hAnsi="Times New Roman"/>
          <w:b/>
          <w:sz w:val="36"/>
          <w:szCs w:val="36"/>
        </w:rPr>
        <w:t>Н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Я</w:t>
      </w:r>
    </w:p>
    <w:p w:rsidR="007065A1" w:rsidRDefault="007065A1" w:rsidP="007065A1">
      <w:pPr>
        <w:pStyle w:val="a5"/>
        <w:rPr>
          <w:b/>
          <w:lang w:val="uk-UA"/>
        </w:rPr>
      </w:pPr>
      <w:r>
        <w:rPr>
          <w:rFonts w:ascii="Times New Roman" w:hAnsi="Times New Roman"/>
          <w:b/>
          <w:sz w:val="36"/>
          <w:szCs w:val="36"/>
        </w:rPr>
        <w:t>___________________________________________________</w:t>
      </w:r>
    </w:p>
    <w:p w:rsidR="007065A1" w:rsidRDefault="007065A1" w:rsidP="007065A1">
      <w:pPr>
        <w:tabs>
          <w:tab w:val="left" w:pos="17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24.02.2017 № УІІ/17-3 </w:t>
      </w:r>
    </w:p>
    <w:p w:rsidR="007065A1" w:rsidRDefault="007065A1" w:rsidP="007065A1">
      <w:pPr>
        <w:tabs>
          <w:tab w:val="left" w:pos="175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с.Сонцівка</w:t>
      </w:r>
      <w:proofErr w:type="spellEnd"/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рішення </w:t>
      </w:r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сільської  ради  від 14.12.2015 № УІІ/3-2</w:t>
      </w:r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встановлення податку </w:t>
      </w:r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майно в частині плати </w:t>
      </w:r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 землю»</w:t>
      </w:r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керуючись статтями 7, 12, 270, 271,  274, 277, 281, 282, 283, 284, 288 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сільська рада </w:t>
      </w:r>
    </w:p>
    <w:p w:rsidR="007065A1" w:rsidRDefault="007065A1" w:rsidP="007065A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7065A1" w:rsidRDefault="007065A1" w:rsidP="007065A1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1.Внести зміни  до рішення сільської ради від 14.12.2015 № УІІ/3-2</w:t>
      </w:r>
    </w:p>
    <w:p w:rsidR="007065A1" w:rsidRDefault="007065A1" w:rsidP="007065A1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 встановлення податку на майно в частині плати за землю» ( зі змінами від 07.07.2016 №УІІ/10-2).</w:t>
      </w:r>
    </w:p>
    <w:p w:rsidR="007065A1" w:rsidRDefault="007065A1" w:rsidP="007065A1">
      <w:pPr>
        <w:tabs>
          <w:tab w:val="left" w:pos="993"/>
        </w:tabs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2.Викласти додатки 1, 2  до рішення сільської ради від 14.12.2015  </w:t>
      </w:r>
    </w:p>
    <w:p w:rsidR="007065A1" w:rsidRDefault="007065A1" w:rsidP="007065A1">
      <w:pPr>
        <w:tabs>
          <w:tab w:val="left" w:pos="993"/>
        </w:tabs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№УІІ/3-2  «Про встановлення податку на майно в частині плати за землю» в новій редакції (додається).</w:t>
      </w:r>
    </w:p>
    <w:p w:rsidR="007065A1" w:rsidRDefault="007065A1" w:rsidP="007065A1">
      <w:pPr>
        <w:pStyle w:val="a6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ind w:hanging="1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Це рішення набуває чинності з 1 березня 2017 року.</w:t>
      </w:r>
    </w:p>
    <w:p w:rsidR="007065A1" w:rsidRDefault="007065A1" w:rsidP="007065A1">
      <w:pPr>
        <w:pStyle w:val="a6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ind w:hanging="1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Оприлюднити дане рішення в регіональній газеті «Маяк».  </w:t>
      </w:r>
    </w:p>
    <w:p w:rsidR="007065A1" w:rsidRDefault="007065A1" w:rsidP="007065A1">
      <w:pPr>
        <w:pStyle w:val="a6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/>
        </w:rPr>
        <w:t>Подати рішення до Красноармійської ОДПІ у 10-денний термін з дня прийняття.</w:t>
      </w:r>
    </w:p>
    <w:p w:rsidR="007065A1" w:rsidRDefault="007065A1" w:rsidP="007065A1">
      <w:pPr>
        <w:tabs>
          <w:tab w:val="left" w:pos="709"/>
          <w:tab w:val="left" w:pos="993"/>
          <w:tab w:val="left" w:pos="21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6. Контроль за виконанням даного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 комісію з питань планування, бюджету,  фінансів,соціального, економічного та культурного розвитку села. </w:t>
      </w: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Сільський голова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                   П.І.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Кудінов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pStyle w:val="a6"/>
        <w:tabs>
          <w:tab w:val="left" w:pos="709"/>
        </w:tabs>
        <w:ind w:left="1069"/>
        <w:jc w:val="both"/>
        <w:rPr>
          <w:color w:val="000000"/>
          <w:sz w:val="28"/>
          <w:szCs w:val="28"/>
          <w:lang w:val="uk-UA"/>
        </w:rPr>
      </w:pPr>
    </w:p>
    <w:p w:rsidR="007065A1" w:rsidRDefault="007065A1" w:rsidP="007065A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>Додаток 1</w:t>
      </w:r>
    </w:p>
    <w:p w:rsidR="007065A1" w:rsidRDefault="007065A1" w:rsidP="007065A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>                                                                                               до рішення сільської ради</w:t>
      </w:r>
    </w:p>
    <w:p w:rsidR="007065A1" w:rsidRDefault="007065A1" w:rsidP="007065A1">
      <w:pPr>
        <w:tabs>
          <w:tab w:val="left" w:pos="1665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                                                                             </w:t>
      </w:r>
    </w:p>
    <w:p w:rsidR="007065A1" w:rsidRDefault="007065A1" w:rsidP="007065A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Ставки земельного податку за земельні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990"/>
      </w:tblGrid>
      <w:tr w:rsidR="007065A1" w:rsidTr="007065A1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Землі в межах населених пунктів 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0,03 %  від нормативної грошової оцінки землі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0,03 %  від нормативної грошової оцінки землі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дворами: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1 % від нормативної грошової оцінки землі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1 %  від нормативної грошової оцінки землі</w:t>
            </w:r>
          </w:p>
        </w:tc>
      </w:tr>
      <w:tr w:rsidR="007065A1" w:rsidTr="007065A1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Землі за межами населених пунктів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7065A1" w:rsidTr="007065A1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0,3 %  від нормативної грошової оцінки землі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</w:tr>
      <w:tr w:rsidR="007065A1" w:rsidTr="007065A1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Землі промисловості, транспорту, зв’язку та  іншого призначення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водного фонду: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 для риборозведення;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для культурно-оздоровчих цілей;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7065A1" w:rsidTr="007065A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Землі рекреації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7065A1" w:rsidRDefault="007065A1" w:rsidP="007065A1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Сільський голова</w:t>
      </w:r>
    </w:p>
    <w:p w:rsidR="007065A1" w:rsidRDefault="007065A1" w:rsidP="007065A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</w:t>
      </w:r>
    </w:p>
    <w:p w:rsidR="007065A1" w:rsidRDefault="007065A1" w:rsidP="007065A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          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Додаток 2</w:t>
      </w:r>
    </w:p>
    <w:p w:rsidR="007065A1" w:rsidRDefault="007065A1" w:rsidP="007065A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0"/>
          <w:szCs w:val="20"/>
          <w:lang w:val="uk-UA"/>
        </w:rPr>
        <w:t>                                                                                                                до рішення сільської ради</w:t>
      </w:r>
    </w:p>
    <w:p w:rsidR="007065A1" w:rsidRDefault="007065A1" w:rsidP="007065A1">
      <w:pPr>
        <w:tabs>
          <w:tab w:val="left" w:pos="166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                                                                                                                                     </w:t>
      </w:r>
    </w:p>
    <w:p w:rsidR="007065A1" w:rsidRDefault="007065A1" w:rsidP="007065A1">
      <w:pPr>
        <w:tabs>
          <w:tab w:val="left" w:pos="166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565"/>
      </w:tblGrid>
      <w:tr w:rsidR="007065A1" w:rsidTr="007065A1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Землі в межах населених пунктів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 від нормативної грошової оцінки землі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 від нормативної грошової оцінки землі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ведення фермерського господарства,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сінокосіння та випасу худоби;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 від нормативної грошової оцінки землі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дворами: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 від нормативної грошової оцінки землі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5% від нормативної грошової оцінки землі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 від нормативної грошової оцінки землі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водного фонду: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 для риборозведення;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для культурно-оздоровчих цілей;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 від нормативної грошової оцінки землі</w:t>
            </w:r>
          </w:p>
        </w:tc>
      </w:tr>
      <w:tr w:rsidR="007065A1" w:rsidTr="007065A1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Землі за межами населених пунктів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3 %  від нормативної грошової оцінки землі, а у разі її не проведення - 2 ставки земельного податку </w:t>
            </w:r>
          </w:p>
        </w:tc>
      </w:tr>
      <w:tr w:rsidR="007065A1" w:rsidTr="007065A1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3 %  від нормативної грошової оцінки землі</w:t>
            </w:r>
          </w:p>
        </w:tc>
      </w:tr>
      <w:tr w:rsidR="007065A1" w:rsidTr="007065A1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A1" w:rsidRDefault="007065A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Держземагентства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4 % від нормативної грошової оцінки землі</w:t>
            </w:r>
          </w:p>
        </w:tc>
      </w:tr>
      <w:tr w:rsidR="007065A1" w:rsidTr="007065A1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Землі, зайняті господарськими дворами і будівлями: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2 ставки земельного податку</w:t>
            </w:r>
          </w:p>
        </w:tc>
      </w:tr>
      <w:tr w:rsidR="007065A1" w:rsidTr="007065A1">
        <w:trPr>
          <w:trHeight w:val="8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5A1" w:rsidRDefault="007065A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для договорів, укладених з Головним управлінням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Держземагентства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4 %  від нормативної грошової оцінки землі, а у разі її не проведення – 2 ставки земельного податку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Землі промисловості, транспорту, зв’язку та 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lastRenderedPageBreak/>
              <w:t>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3 %  від нормативної грошової оцінки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землі, а у разі її не проведення - 2 ставки земельного податку</w:t>
            </w:r>
          </w:p>
        </w:tc>
      </w:tr>
      <w:tr w:rsidR="007065A1" w:rsidTr="007065A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lastRenderedPageBreak/>
              <w:t>Землі водного фонду: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 для риборозведення;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 для культурно-оздоровчих цілей;</w:t>
            </w:r>
          </w:p>
          <w:p w:rsidR="007065A1" w:rsidRDefault="007065A1">
            <w:pPr>
              <w:tabs>
                <w:tab w:val="left" w:pos="7797"/>
              </w:tabs>
              <w:spacing w:after="0" w:line="240" w:lineRule="auto"/>
              <w:ind w:right="-72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7065A1" w:rsidTr="007065A1">
        <w:trPr>
          <w:trHeight w:val="83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Землі рекреації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A1" w:rsidRDefault="007065A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Сільський голова</w:t>
      </w:r>
    </w:p>
    <w:p w:rsidR="007065A1" w:rsidRDefault="007065A1" w:rsidP="007065A1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065A1" w:rsidRDefault="007065A1" w:rsidP="007065A1">
      <w:pPr>
        <w:pStyle w:val="a3"/>
        <w:spacing w:after="0"/>
        <w:ind w:left="0"/>
        <w:jc w:val="both"/>
        <w:rPr>
          <w:b/>
          <w:lang w:val="uk-UA"/>
        </w:rPr>
      </w:pPr>
    </w:p>
    <w:p w:rsidR="00690AD2" w:rsidRDefault="00690AD2">
      <w:bookmarkStart w:id="0" w:name="_GoBack"/>
      <w:bookmarkEnd w:id="0"/>
    </w:p>
    <w:sectPr w:rsidR="0069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79A"/>
    <w:multiLevelType w:val="hybridMultilevel"/>
    <w:tmpl w:val="F02A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935D8"/>
    <w:multiLevelType w:val="hybridMultilevel"/>
    <w:tmpl w:val="662C1926"/>
    <w:lvl w:ilvl="0" w:tplc="3DF2C7B0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5F84681"/>
    <w:multiLevelType w:val="hybridMultilevel"/>
    <w:tmpl w:val="DC507ED4"/>
    <w:lvl w:ilvl="0" w:tplc="F19C90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8696B"/>
    <w:multiLevelType w:val="hybridMultilevel"/>
    <w:tmpl w:val="5150CA7A"/>
    <w:lvl w:ilvl="0" w:tplc="64EAE9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56"/>
    <w:rsid w:val="00690AD2"/>
    <w:rsid w:val="007065A1"/>
    <w:rsid w:val="009B2DFB"/>
    <w:rsid w:val="00C4463D"/>
    <w:rsid w:val="00D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4463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44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46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C446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4463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446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46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C4463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1640</Words>
  <Characters>9350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2017-04-24T07:28:00Z</dcterms:created>
  <dcterms:modified xsi:type="dcterms:W3CDTF">2017-04-24T07:29:00Z</dcterms:modified>
</cp:coreProperties>
</file>