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B54" w:rsidRDefault="00D41B54" w:rsidP="00A60F4F">
      <w:pPr>
        <w:spacing w:after="12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Інформація покрокової організації реалізації </w:t>
      </w:r>
      <w:r w:rsidR="00B52BBA">
        <w:rPr>
          <w:b/>
          <w:i/>
          <w:sz w:val="28"/>
          <w:szCs w:val="28"/>
        </w:rPr>
        <w:t>проекту</w:t>
      </w:r>
      <w:r w:rsidR="004C0FE5">
        <w:rPr>
          <w:b/>
          <w:i/>
          <w:sz w:val="28"/>
          <w:szCs w:val="28"/>
        </w:rPr>
        <w:t xml:space="preserve"> «Український донецький куркуль»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951"/>
        <w:gridCol w:w="8209"/>
      </w:tblGrid>
      <w:tr w:rsidR="00D41B54" w:rsidTr="00D41B54">
        <w:trPr>
          <w:trHeight w:val="302"/>
        </w:trPr>
        <w:tc>
          <w:tcPr>
            <w:tcW w:w="16160" w:type="dxa"/>
            <w:gridSpan w:val="2"/>
          </w:tcPr>
          <w:p w:rsidR="00D41B54" w:rsidRDefault="00D41B54" w:rsidP="00D41B5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Дії</w:t>
            </w:r>
            <w:r w:rsidR="0071765E">
              <w:rPr>
                <w:b/>
                <w:i/>
                <w:sz w:val="28"/>
                <w:szCs w:val="28"/>
              </w:rPr>
              <w:t xml:space="preserve"> що стосуються</w:t>
            </w:r>
            <w:r>
              <w:rPr>
                <w:b/>
                <w:i/>
                <w:sz w:val="28"/>
                <w:szCs w:val="28"/>
              </w:rPr>
              <w:t>:</w:t>
            </w:r>
          </w:p>
        </w:tc>
      </w:tr>
      <w:tr w:rsidR="00D41B54" w:rsidTr="00D41B54">
        <w:tc>
          <w:tcPr>
            <w:tcW w:w="7951" w:type="dxa"/>
          </w:tcPr>
          <w:p w:rsidR="00D41B54" w:rsidRDefault="00D41B54" w:rsidP="00D41B5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підприємця</w:t>
            </w:r>
          </w:p>
        </w:tc>
        <w:tc>
          <w:tcPr>
            <w:tcW w:w="8209" w:type="dxa"/>
          </w:tcPr>
          <w:p w:rsidR="00D41B54" w:rsidRDefault="00D41B54" w:rsidP="00D41B5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облдержадміністрації</w:t>
            </w:r>
          </w:p>
        </w:tc>
      </w:tr>
      <w:tr w:rsidR="00C83CA9" w:rsidRPr="007C512E" w:rsidTr="00081548">
        <w:tc>
          <w:tcPr>
            <w:tcW w:w="7951" w:type="dxa"/>
          </w:tcPr>
          <w:p w:rsidR="00C83CA9" w:rsidRPr="00A404E5" w:rsidRDefault="00C83CA9" w:rsidP="00A404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2E">
              <w:rPr>
                <w:rFonts w:ascii="Times New Roman" w:hAnsi="Times New Roman" w:cs="Times New Roman"/>
                <w:b/>
                <w:sz w:val="24"/>
                <w:szCs w:val="24"/>
              </w:rPr>
              <w:t>1. Розробляєте бізнес-план проекту</w:t>
            </w:r>
          </w:p>
        </w:tc>
        <w:tc>
          <w:tcPr>
            <w:tcW w:w="8209" w:type="dxa"/>
            <w:vMerge w:val="restart"/>
          </w:tcPr>
          <w:p w:rsidR="00C83CA9" w:rsidRPr="007C512E" w:rsidRDefault="00207711" w:rsidP="00A73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BA">
              <w:rPr>
                <w:rFonts w:ascii="Times New Roman" w:hAnsi="Times New Roman" w:cs="Times New Roman"/>
                <w:b/>
                <w:sz w:val="24"/>
                <w:szCs w:val="24"/>
              </w:rPr>
              <w:t>До 30 травня 2017</w:t>
            </w:r>
            <w:r w:rsidRPr="00AE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334">
              <w:rPr>
                <w:rFonts w:ascii="Times New Roman" w:hAnsi="Times New Roman" w:cs="Times New Roman"/>
                <w:sz w:val="24"/>
                <w:szCs w:val="24"/>
              </w:rPr>
              <w:t>прийом</w:t>
            </w:r>
            <w:r w:rsidR="00F21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пакетів</w:t>
            </w:r>
            <w:r w:rsidRPr="00B5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документів</w:t>
            </w:r>
            <w:r w:rsidR="00F21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3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 підприємців </w:t>
            </w:r>
            <w:r w:rsidR="00A73A22" w:rsidRPr="00A73A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73A22">
              <w:rPr>
                <w:rFonts w:ascii="Times New Roman" w:hAnsi="Times New Roman" w:cs="Times New Roman"/>
                <w:sz w:val="24"/>
                <w:szCs w:val="24"/>
              </w:rPr>
              <w:t xml:space="preserve"> участь</w:t>
            </w:r>
            <w:r w:rsidRPr="00AE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B54">
              <w:rPr>
                <w:rFonts w:ascii="Times New Roman" w:hAnsi="Times New Roman" w:cs="Times New Roman"/>
                <w:i/>
                <w:sz w:val="24"/>
                <w:szCs w:val="24"/>
              </w:rPr>
              <w:t>в конкурсному відбор</w:t>
            </w:r>
            <w:r w:rsidR="00F21334" w:rsidRPr="00D41B54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  <w:r w:rsidRPr="00AE770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21334">
              <w:rPr>
                <w:rFonts w:ascii="Times New Roman" w:hAnsi="Times New Roman"/>
                <w:sz w:val="24"/>
                <w:szCs w:val="24"/>
              </w:rPr>
              <w:t xml:space="preserve">отримання фінансової підтримки </w:t>
            </w:r>
            <w:r w:rsidR="00A60F4F">
              <w:rPr>
                <w:rFonts w:ascii="Times New Roman" w:hAnsi="Times New Roman"/>
                <w:sz w:val="24"/>
                <w:szCs w:val="24"/>
              </w:rPr>
              <w:t>бізнес-проектів  або часткової компенсації</w:t>
            </w:r>
            <w:r w:rsidRPr="00AE770A">
              <w:rPr>
                <w:rFonts w:ascii="Times New Roman" w:hAnsi="Times New Roman"/>
                <w:sz w:val="24"/>
                <w:szCs w:val="24"/>
              </w:rPr>
              <w:t xml:space="preserve"> за кредитом</w:t>
            </w:r>
            <w:r w:rsidR="007176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83CA9" w:rsidRPr="007C512E" w:rsidTr="00081548">
        <w:trPr>
          <w:trHeight w:val="667"/>
        </w:trPr>
        <w:tc>
          <w:tcPr>
            <w:tcW w:w="7951" w:type="dxa"/>
          </w:tcPr>
          <w:p w:rsidR="00C83CA9" w:rsidRPr="007C512E" w:rsidRDefault="00C83CA9" w:rsidP="004C0F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924177" w:rsidRPr="007C512E">
              <w:rPr>
                <w:rFonts w:ascii="Times New Roman" w:hAnsi="Times New Roman" w:cs="Times New Roman"/>
                <w:b/>
                <w:sz w:val="24"/>
                <w:szCs w:val="24"/>
              </w:rPr>
              <w:t>Звертаєтесь  до конкурсної комісії з відбору проектів із заявою та відповідним пакетом документів</w:t>
            </w:r>
          </w:p>
        </w:tc>
        <w:tc>
          <w:tcPr>
            <w:tcW w:w="8209" w:type="dxa"/>
            <w:vMerge/>
          </w:tcPr>
          <w:p w:rsidR="00C83CA9" w:rsidRPr="007C512E" w:rsidRDefault="00C83CA9" w:rsidP="00B52B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24177" w:rsidRPr="007C512E" w:rsidTr="00081548">
        <w:trPr>
          <w:trHeight w:val="1880"/>
        </w:trPr>
        <w:tc>
          <w:tcPr>
            <w:tcW w:w="7951" w:type="dxa"/>
          </w:tcPr>
          <w:p w:rsidR="00924177" w:rsidRPr="007C512E" w:rsidRDefault="00924177" w:rsidP="004C0F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717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ахищаєте </w:t>
            </w:r>
            <w:r w:rsidRPr="007C512E">
              <w:rPr>
                <w:rFonts w:ascii="Times New Roman" w:hAnsi="Times New Roman" w:cs="Times New Roman"/>
                <w:b/>
                <w:sz w:val="24"/>
                <w:szCs w:val="24"/>
              </w:rPr>
              <w:t>свій бізнес-план на засіданні конкурсної комісії</w:t>
            </w:r>
          </w:p>
        </w:tc>
        <w:tc>
          <w:tcPr>
            <w:tcW w:w="8209" w:type="dxa"/>
          </w:tcPr>
          <w:p w:rsidR="0071765E" w:rsidRDefault="00207711" w:rsidP="007176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10 робочих днів</w:t>
            </w:r>
            <w:r w:rsidR="007804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80493">
              <w:rPr>
                <w:rFonts w:ascii="Times New Roman" w:hAnsi="Times New Roman"/>
                <w:sz w:val="24"/>
                <w:szCs w:val="24"/>
                <w:lang w:val="ru-RU"/>
              </w:rPr>
              <w:t>(30 травня 2017</w:t>
            </w:r>
            <w:r w:rsidR="007804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року</w:t>
            </w:r>
            <w:r w:rsidR="007804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дня проведення конкурсного відбору завершується прийом документів, за 8 робочих днів</w:t>
            </w:r>
            <w:r w:rsidR="007804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80493" w:rsidRPr="00780493">
              <w:rPr>
                <w:rFonts w:ascii="Times New Roman" w:hAnsi="Times New Roman"/>
                <w:sz w:val="24"/>
                <w:szCs w:val="24"/>
              </w:rPr>
              <w:t>(6 червня</w:t>
            </w:r>
            <w:r w:rsidR="007804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2017 року</w:t>
            </w:r>
            <w:r w:rsidR="00780493" w:rsidRPr="00780493">
              <w:rPr>
                <w:rFonts w:ascii="Times New Roman" w:hAnsi="Times New Roman"/>
                <w:sz w:val="24"/>
                <w:szCs w:val="24"/>
              </w:rPr>
              <w:t>)</w:t>
            </w:r>
            <w:r w:rsidRPr="00780493">
              <w:rPr>
                <w:rFonts w:ascii="Times New Roman" w:hAnsi="Times New Roman"/>
                <w:sz w:val="24"/>
                <w:szCs w:val="24"/>
              </w:rPr>
              <w:t xml:space="preserve"> до дня </w:t>
            </w:r>
            <w:r w:rsidR="0071765E" w:rsidRPr="00780493">
              <w:rPr>
                <w:rFonts w:ascii="Times New Roman" w:hAnsi="Times New Roman"/>
                <w:sz w:val="24"/>
                <w:szCs w:val="24"/>
              </w:rPr>
              <w:t xml:space="preserve">проведення конкурсного відбору </w:t>
            </w:r>
            <w:r w:rsidRPr="00780493">
              <w:rPr>
                <w:rFonts w:ascii="Times New Roman" w:hAnsi="Times New Roman"/>
                <w:sz w:val="24"/>
                <w:szCs w:val="24"/>
              </w:rPr>
              <w:t>надсилаються пакети докуме</w:t>
            </w:r>
            <w:r w:rsidR="00780493" w:rsidRPr="00780493">
              <w:rPr>
                <w:rFonts w:ascii="Times New Roman" w:hAnsi="Times New Roman"/>
                <w:sz w:val="24"/>
                <w:szCs w:val="24"/>
              </w:rPr>
              <w:t>нтів</w:t>
            </w:r>
            <w:r w:rsidR="00780493">
              <w:rPr>
                <w:rFonts w:ascii="Times New Roman" w:hAnsi="Times New Roman"/>
                <w:sz w:val="24"/>
                <w:szCs w:val="24"/>
              </w:rPr>
              <w:t xml:space="preserve"> членам конкурсної комісії.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B95">
              <w:rPr>
                <w:rFonts w:ascii="Times New Roman" w:hAnsi="Times New Roman"/>
                <w:b/>
                <w:sz w:val="24"/>
                <w:szCs w:val="24"/>
              </w:rPr>
              <w:t>15 червня 2017</w:t>
            </w:r>
            <w:r w:rsidR="0071765E">
              <w:rPr>
                <w:rFonts w:ascii="Times New Roman" w:hAnsi="Times New Roman"/>
                <w:b/>
                <w:sz w:val="24"/>
                <w:szCs w:val="24"/>
              </w:rPr>
              <w:t xml:space="preserve"> року - проведення першого</w:t>
            </w:r>
            <w:r w:rsidRPr="00101B95">
              <w:rPr>
                <w:rFonts w:ascii="Times New Roman" w:hAnsi="Times New Roman"/>
                <w:b/>
                <w:sz w:val="24"/>
                <w:szCs w:val="24"/>
              </w:rPr>
              <w:t xml:space="preserve"> конкурс</w:t>
            </w:r>
            <w:r w:rsidR="0071765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оголош</w:t>
            </w:r>
            <w:r w:rsidR="0071765E">
              <w:rPr>
                <w:rFonts w:ascii="Times New Roman" w:hAnsi="Times New Roman"/>
                <w:sz w:val="24"/>
                <w:szCs w:val="24"/>
              </w:rPr>
              <w:t>ення наступної дати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проведення конкурсу. </w:t>
            </w:r>
          </w:p>
          <w:p w:rsidR="00924177" w:rsidRPr="007C512E" w:rsidRDefault="00207711" w:rsidP="0071765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</w:t>
            </w:r>
            <w:r w:rsidR="0071765E">
              <w:rPr>
                <w:rFonts w:ascii="Times New Roman" w:hAnsi="Times New Roman"/>
                <w:sz w:val="24"/>
                <w:szCs w:val="24"/>
              </w:rPr>
              <w:t>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протокол</w:t>
            </w:r>
            <w:r w:rsidR="0071765E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засідання конкурсної комісії.</w:t>
            </w:r>
          </w:p>
        </w:tc>
      </w:tr>
      <w:tr w:rsidR="004C0FE5" w:rsidRPr="007C512E" w:rsidTr="00081548">
        <w:tc>
          <w:tcPr>
            <w:tcW w:w="7951" w:type="dxa"/>
          </w:tcPr>
          <w:p w:rsidR="004C0FE5" w:rsidRPr="007C512E" w:rsidRDefault="00924177" w:rsidP="007176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C512E">
              <w:rPr>
                <w:rFonts w:ascii="Times New Roman" w:hAnsi="Times New Roman" w:cs="Times New Roman"/>
                <w:b/>
                <w:sz w:val="24"/>
                <w:szCs w:val="24"/>
              </w:rPr>
              <w:t>. Проекти, які відібрані на засіданні конкурсної комісії</w:t>
            </w:r>
            <w:r w:rsidR="00A60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фінансову підтримку</w:t>
            </w:r>
            <w:r w:rsidR="0071765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C5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направляються до відповідних органів місцевого самоврядування (або до уповноважених ними органів або осіб) для підтвердження ними співфінансування проектів (гарантійний лист щодо співфінансування)</w:t>
            </w:r>
          </w:p>
        </w:tc>
        <w:tc>
          <w:tcPr>
            <w:tcW w:w="8209" w:type="dxa"/>
          </w:tcPr>
          <w:p w:rsidR="0071765E" w:rsidRDefault="00207711" w:rsidP="00B52B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Рішення протоколу конкурсної комісії щодо надання фінансової підтримки суб’єктам малого підприємництва з листом відправляється органу місцевого самоврядування (або до уповноважених ними органів або осіб)</w:t>
            </w:r>
            <w:r w:rsidRPr="0096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підтвердження співфінансування</w:t>
            </w:r>
            <w:r w:rsidR="00780493" w:rsidRPr="00780493">
              <w:rPr>
                <w:rFonts w:ascii="Times New Roman" w:hAnsi="Times New Roman" w:cs="Times New Roman"/>
                <w:sz w:val="24"/>
                <w:szCs w:val="24"/>
              </w:rPr>
              <w:t xml:space="preserve"> (до 20 червня 2017 року)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C0FE5" w:rsidRPr="00AE770A" w:rsidRDefault="00207711" w:rsidP="00B52B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1A8">
              <w:rPr>
                <w:rFonts w:ascii="Times New Roman" w:hAnsi="Times New Roman" w:cs="Times New Roman"/>
                <w:b/>
                <w:sz w:val="24"/>
                <w:szCs w:val="24"/>
              </w:rPr>
              <w:t>Протягом 10 календарних днів</w:t>
            </w:r>
            <w:r w:rsidR="007804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780493" w:rsidRPr="00780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(до 26 червня 2017 року)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 місцевого самоврядування 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правляють гарантійні листи про підтвердження співфінансування проектів, визнаних переможцями конкурсного відбору.</w:t>
            </w:r>
          </w:p>
        </w:tc>
      </w:tr>
      <w:tr w:rsidR="004C0FE5" w:rsidRPr="007C512E" w:rsidTr="00081548">
        <w:tc>
          <w:tcPr>
            <w:tcW w:w="7951" w:type="dxa"/>
          </w:tcPr>
          <w:p w:rsidR="004C0FE5" w:rsidRPr="007C512E" w:rsidRDefault="00924177" w:rsidP="007176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7C512E">
              <w:rPr>
                <w:rFonts w:ascii="Times New Roman" w:hAnsi="Times New Roman" w:cs="Times New Roman"/>
                <w:b/>
                <w:sz w:val="24"/>
                <w:szCs w:val="24"/>
              </w:rPr>
              <w:t>Після отримання гарантійних листів формується остаточний перелік проектів переможців конкурсного відбору та вит</w:t>
            </w:r>
            <w:r w:rsidR="00717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яг протоколу надається кожному </w:t>
            </w:r>
            <w:r w:rsidRPr="007C512E">
              <w:rPr>
                <w:rFonts w:ascii="Times New Roman" w:hAnsi="Times New Roman" w:cs="Times New Roman"/>
                <w:b/>
                <w:sz w:val="24"/>
                <w:szCs w:val="24"/>
              </w:rPr>
              <w:t>учаснику конкурсного відбору, а також оприлюднюється на веб-сайті облдержадміністрації</w:t>
            </w:r>
          </w:p>
        </w:tc>
        <w:tc>
          <w:tcPr>
            <w:tcW w:w="8209" w:type="dxa"/>
          </w:tcPr>
          <w:p w:rsidR="004C0FE5" w:rsidRPr="00AE770A" w:rsidRDefault="00207711" w:rsidP="004C0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4B8">
              <w:rPr>
                <w:rFonts w:ascii="Times New Roman" w:hAnsi="Times New Roman" w:cs="Times New Roman"/>
                <w:sz w:val="24"/>
                <w:szCs w:val="24"/>
              </w:rPr>
              <w:t xml:space="preserve">Після отримання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гарантійних листів формується остаточний перелік п</w:t>
            </w:r>
            <w:r w:rsidR="009671A8">
              <w:rPr>
                <w:rFonts w:ascii="Times New Roman" w:hAnsi="Times New Roman" w:cs="Times New Roman"/>
                <w:sz w:val="24"/>
                <w:szCs w:val="24"/>
              </w:rPr>
              <w:t>роектів переможців та оприлюднюю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ться остаточні результати конкурсного відбору.</w:t>
            </w:r>
            <w:r w:rsidR="009671A8">
              <w:rPr>
                <w:rFonts w:ascii="Times New Roman" w:hAnsi="Times New Roman" w:cs="Times New Roman"/>
                <w:sz w:val="24"/>
                <w:szCs w:val="24"/>
              </w:rPr>
              <w:t xml:space="preserve"> Формується</w:t>
            </w:r>
            <w:r w:rsidR="00B52BBA">
              <w:rPr>
                <w:rFonts w:ascii="Times New Roman" w:hAnsi="Times New Roman" w:cs="Times New Roman"/>
                <w:sz w:val="24"/>
                <w:szCs w:val="24"/>
              </w:rPr>
              <w:t xml:space="preserve"> реєстр підприємців, які бажають пройти стажування за галузевими напрям</w:t>
            </w:r>
            <w:r w:rsidR="0071765E">
              <w:rPr>
                <w:rFonts w:ascii="Times New Roman" w:hAnsi="Times New Roman" w:cs="Times New Roman"/>
                <w:sz w:val="24"/>
                <w:szCs w:val="24"/>
              </w:rPr>
              <w:t>ками.</w:t>
            </w:r>
          </w:p>
        </w:tc>
      </w:tr>
      <w:tr w:rsidR="004C0FE5" w:rsidRPr="007C512E" w:rsidTr="00081548">
        <w:tc>
          <w:tcPr>
            <w:tcW w:w="7951" w:type="dxa"/>
          </w:tcPr>
          <w:p w:rsidR="004C0FE5" w:rsidRPr="007C512E" w:rsidRDefault="009671A8" w:rsidP="0096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Переможці</w:t>
            </w:r>
            <w:r w:rsidR="00207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конкурсного відбору щодо фінансової підтримки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мають</w:t>
            </w:r>
            <w:r w:rsidR="00207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можливість пройти навчання (стажування) в країнах ЄС</w:t>
            </w:r>
          </w:p>
        </w:tc>
        <w:tc>
          <w:tcPr>
            <w:tcW w:w="8209" w:type="dxa"/>
          </w:tcPr>
          <w:p w:rsidR="004C0FE5" w:rsidRPr="009664B8" w:rsidRDefault="009D0EE7" w:rsidP="009D0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Надається</w:t>
            </w:r>
            <w:r w:rsidR="00B52BBA">
              <w:rPr>
                <w:rFonts w:ascii="Times New Roman" w:hAnsi="Times New Roman" w:cs="Times New Roman"/>
                <w:sz w:val="24"/>
                <w:szCs w:val="24"/>
              </w:rPr>
              <w:t xml:space="preserve"> реєстр </w:t>
            </w:r>
            <w:r w:rsidR="00A404E5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B52B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404E5">
              <w:rPr>
                <w:rFonts w:ascii="Times New Roman" w:hAnsi="Times New Roman" w:cs="Times New Roman"/>
                <w:sz w:val="24"/>
                <w:szCs w:val="24"/>
              </w:rPr>
              <w:t xml:space="preserve"> інвестиційно-ін</w:t>
            </w:r>
            <w:r w:rsidR="00B52BBA">
              <w:rPr>
                <w:rFonts w:ascii="Times New Roman" w:hAnsi="Times New Roman" w:cs="Times New Roman"/>
                <w:sz w:val="24"/>
                <w:szCs w:val="24"/>
              </w:rPr>
              <w:t xml:space="preserve">новаційного розвитку  і зовнішніх відносин облдержадміністрації для </w:t>
            </w:r>
            <w:r w:rsidR="00101B95">
              <w:rPr>
                <w:rFonts w:ascii="Times New Roman" w:hAnsi="Times New Roman" w:cs="Times New Roman"/>
                <w:sz w:val="24"/>
                <w:szCs w:val="24"/>
              </w:rPr>
              <w:t>узгодження</w:t>
            </w:r>
            <w:r w:rsidR="00B52BBA">
              <w:rPr>
                <w:rFonts w:ascii="Times New Roman" w:hAnsi="Times New Roman" w:cs="Times New Roman"/>
                <w:sz w:val="24"/>
                <w:szCs w:val="24"/>
              </w:rPr>
              <w:t xml:space="preserve"> груп та відправки підприємців на стажування</w:t>
            </w:r>
          </w:p>
        </w:tc>
      </w:tr>
      <w:tr w:rsidR="004C0FE5" w:rsidRPr="007C512E" w:rsidTr="00081548">
        <w:tc>
          <w:tcPr>
            <w:tcW w:w="7951" w:type="dxa"/>
          </w:tcPr>
          <w:p w:rsidR="004C0FE5" w:rsidRPr="007C512E" w:rsidRDefault="00207711" w:rsidP="00207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C0FE5" w:rsidRPr="007C5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  </w:t>
            </w:r>
            <w:r w:rsidRPr="007C5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переможцями конкурсу укладається угода про фінансову підтримку </w:t>
            </w:r>
          </w:p>
        </w:tc>
        <w:tc>
          <w:tcPr>
            <w:tcW w:w="8209" w:type="dxa"/>
          </w:tcPr>
          <w:p w:rsidR="004C0FE5" w:rsidRPr="009664B8" w:rsidRDefault="00207711" w:rsidP="00A60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Розпорядник коштів з пер</w:t>
            </w:r>
            <w:r w:rsidR="00A60F4F">
              <w:rPr>
                <w:rFonts w:ascii="Times New Roman" w:hAnsi="Times New Roman" w:cs="Times New Roman"/>
                <w:sz w:val="24"/>
                <w:szCs w:val="24"/>
              </w:rPr>
              <w:t>еможцями конкурсу укладає угоду</w:t>
            </w:r>
            <w:r w:rsidR="009D0EE7">
              <w:rPr>
                <w:rFonts w:ascii="Times New Roman" w:hAnsi="Times New Roman" w:cs="Times New Roman"/>
                <w:sz w:val="24"/>
                <w:szCs w:val="24"/>
              </w:rPr>
              <w:t>, та проводить</w:t>
            </w:r>
            <w:r w:rsidR="00A404E5">
              <w:rPr>
                <w:rFonts w:ascii="Times New Roman" w:hAnsi="Times New Roman" w:cs="Times New Roman"/>
                <w:sz w:val="24"/>
                <w:szCs w:val="24"/>
              </w:rPr>
              <w:t xml:space="preserve"> виплати згідно узгодженої суми </w:t>
            </w:r>
          </w:p>
        </w:tc>
      </w:tr>
      <w:tr w:rsidR="004C0FE5" w:rsidRPr="007C512E" w:rsidTr="00A60F4F">
        <w:trPr>
          <w:trHeight w:val="728"/>
        </w:trPr>
        <w:tc>
          <w:tcPr>
            <w:tcW w:w="7951" w:type="dxa"/>
          </w:tcPr>
          <w:p w:rsidR="004C0FE5" w:rsidRPr="007C512E" w:rsidRDefault="00207711" w:rsidP="009D0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7C512E"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  <w:r w:rsidR="009D0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алізуєте проект та надаєте звіт (згідно </w:t>
            </w:r>
            <w:r w:rsidRPr="007C512E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календарного графіку</w:t>
            </w:r>
            <w:r w:rsidR="009D0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підприємця)</w:t>
            </w:r>
          </w:p>
        </w:tc>
        <w:tc>
          <w:tcPr>
            <w:tcW w:w="8209" w:type="dxa"/>
          </w:tcPr>
          <w:p w:rsidR="004C0FE5" w:rsidRPr="00694667" w:rsidRDefault="00A404E5" w:rsidP="004C0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667">
              <w:rPr>
                <w:rFonts w:ascii="Times New Roman" w:hAnsi="Times New Roman" w:cs="Times New Roman"/>
                <w:sz w:val="24"/>
                <w:szCs w:val="24"/>
              </w:rPr>
              <w:t>Моніторинг звітів щодо реалізації бізнес-проект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ів </w:t>
            </w:r>
            <w:r w:rsidRPr="00694667">
              <w:rPr>
                <w:rFonts w:ascii="Times New Roman" w:hAnsi="Times New Roman" w:cs="Times New Roman"/>
                <w:sz w:val="24"/>
                <w:szCs w:val="24"/>
              </w:rPr>
              <w:t xml:space="preserve"> на протязі одного року</w:t>
            </w:r>
          </w:p>
        </w:tc>
      </w:tr>
    </w:tbl>
    <w:p w:rsidR="00081548" w:rsidRDefault="00081548" w:rsidP="00A60F4F"/>
    <w:sectPr w:rsidR="00081548" w:rsidSect="00A404E5">
      <w:pgSz w:w="16838" w:h="11906" w:orient="landscape"/>
      <w:pgMar w:top="709" w:right="425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E5"/>
    <w:rsid w:val="00081548"/>
    <w:rsid w:val="00101B95"/>
    <w:rsid w:val="00207711"/>
    <w:rsid w:val="004C0FE5"/>
    <w:rsid w:val="005D4251"/>
    <w:rsid w:val="00694667"/>
    <w:rsid w:val="006E073F"/>
    <w:rsid w:val="0071765E"/>
    <w:rsid w:val="00780493"/>
    <w:rsid w:val="007C512E"/>
    <w:rsid w:val="00860329"/>
    <w:rsid w:val="008B5675"/>
    <w:rsid w:val="00924177"/>
    <w:rsid w:val="009664B8"/>
    <w:rsid w:val="009671A8"/>
    <w:rsid w:val="009D09F9"/>
    <w:rsid w:val="009D0EE7"/>
    <w:rsid w:val="00A404E5"/>
    <w:rsid w:val="00A60F4F"/>
    <w:rsid w:val="00A73A22"/>
    <w:rsid w:val="00AE770A"/>
    <w:rsid w:val="00B52BBA"/>
    <w:rsid w:val="00B93AD5"/>
    <w:rsid w:val="00C3622E"/>
    <w:rsid w:val="00C83CA9"/>
    <w:rsid w:val="00CA07F4"/>
    <w:rsid w:val="00D41B54"/>
    <w:rsid w:val="00DA1ACA"/>
    <w:rsid w:val="00F2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8E92F-B4F4-4B6A-8772-814F0E01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FE5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0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9F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Департамент економіки Донецької ОДА</dc:creator>
  <cp:lastModifiedBy>Департамент економіки Донецької ОДА</cp:lastModifiedBy>
  <cp:revision>3</cp:revision>
  <cp:lastPrinted>2017-05-13T07:39:00Z</cp:lastPrinted>
  <dcterms:created xsi:type="dcterms:W3CDTF">2017-05-12T20:35:00Z</dcterms:created>
  <dcterms:modified xsi:type="dcterms:W3CDTF">2017-05-13T07:39:00Z</dcterms:modified>
</cp:coreProperties>
</file>