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DC9" w:rsidRPr="00D67739" w:rsidRDefault="00226DC9" w:rsidP="00032CC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7739">
        <w:rPr>
          <w:rFonts w:ascii="Times New Roman" w:hAnsi="Times New Roman" w:cs="Times New Roman"/>
          <w:sz w:val="28"/>
          <w:szCs w:val="28"/>
        </w:rPr>
        <w:t xml:space="preserve">Департамент охорони здоров’я облдержадміністрації оголошує конкурс на заміщення вакантної посади головного лікаря </w:t>
      </w:r>
      <w:proofErr w:type="spellStart"/>
      <w:r w:rsidRPr="00D67739">
        <w:rPr>
          <w:rFonts w:ascii="Times New Roman" w:hAnsi="Times New Roman" w:cs="Times New Roman"/>
          <w:sz w:val="28"/>
          <w:szCs w:val="28"/>
        </w:rPr>
        <w:t>Мангушськ</w:t>
      </w:r>
      <w:r w:rsidR="00167284">
        <w:rPr>
          <w:rFonts w:ascii="Times New Roman" w:hAnsi="Times New Roman" w:cs="Times New Roman"/>
          <w:sz w:val="28"/>
          <w:szCs w:val="28"/>
        </w:rPr>
        <w:t>ої</w:t>
      </w:r>
      <w:proofErr w:type="spellEnd"/>
      <w:r w:rsidR="00167284">
        <w:rPr>
          <w:rFonts w:ascii="Times New Roman" w:hAnsi="Times New Roman" w:cs="Times New Roman"/>
          <w:sz w:val="28"/>
          <w:szCs w:val="28"/>
        </w:rPr>
        <w:t xml:space="preserve"> центральної районної лікарні згідно Закону України «Основи законодавства України про охорону здоров’я», постанови Кабінету Міністрі України від 27 грудня 2017р. № 1094 «Про </w:t>
      </w:r>
      <w:r w:rsidR="00167284" w:rsidRPr="00E13A8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затвердження Порядку проведення конкурсу на зайняття посади керівника державного, комунального закладу охорони здоров’я</w:t>
      </w:r>
      <w:r w:rsidR="0016728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», </w:t>
      </w:r>
      <w:r w:rsidR="00167284">
        <w:rPr>
          <w:rFonts w:ascii="Times New Roman" w:hAnsi="Times New Roman" w:cs="Times New Roman"/>
          <w:sz w:val="28"/>
          <w:szCs w:val="28"/>
        </w:rPr>
        <w:t>на виконання розпорядження голови облдержадміністрації, керівника обласної військово-цивільної адміністрації  від 28 квітня 2015             № 172  «Про Порядок призначення на посади та звільнення з посад керівників підприємств, установ, організацій спільної власності територіальних громад сіл, селищ, міст, що перебувають в управлінні Донецької обласної ради» (із змінами).</w:t>
      </w:r>
    </w:p>
    <w:p w:rsidR="00B02B2D" w:rsidRPr="00D67739" w:rsidRDefault="00B02B2D" w:rsidP="00B02B2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1C1C1C"/>
          <w:sz w:val="28"/>
          <w:szCs w:val="28"/>
          <w:lang w:eastAsia="ru-RU"/>
        </w:rPr>
      </w:pPr>
      <w:r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 xml:space="preserve">Найменування та місцезнаходження комунальної установи: </w:t>
      </w:r>
      <w:proofErr w:type="spellStart"/>
      <w:r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>Мангушська</w:t>
      </w:r>
      <w:proofErr w:type="spellEnd"/>
      <w:r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 xml:space="preserve"> центральна районна лікарня</w:t>
      </w:r>
      <w:r w:rsidR="00AA3E8B" w:rsidRPr="00D67739">
        <w:rPr>
          <w:rFonts w:ascii="Arial" w:hAnsi="Arial" w:cs="Arial"/>
          <w:color w:val="1F1F1F"/>
          <w:sz w:val="21"/>
          <w:szCs w:val="21"/>
          <w:shd w:val="clear" w:color="auto" w:fill="FFFFFF"/>
        </w:rPr>
        <w:t xml:space="preserve"> </w:t>
      </w:r>
      <w:r w:rsidR="00AA3E8B"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 xml:space="preserve">87400, Донецька обл., </w:t>
      </w:r>
      <w:proofErr w:type="spellStart"/>
      <w:r w:rsidR="00AA3E8B"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>Мангушський</w:t>
      </w:r>
      <w:proofErr w:type="spellEnd"/>
      <w:r w:rsidR="00AA3E8B"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 xml:space="preserve"> район, селище міського типу </w:t>
      </w:r>
      <w:proofErr w:type="spellStart"/>
      <w:r w:rsidR="00AA3E8B"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>Мангуш</w:t>
      </w:r>
      <w:proofErr w:type="spellEnd"/>
      <w:r w:rsidR="00AA3E8B"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>, ВУЛИЦЯ ПОШТОВА, будинок 22</w:t>
      </w:r>
    </w:p>
    <w:p w:rsidR="00AA3E8B" w:rsidRPr="00D67739" w:rsidRDefault="00B02B2D" w:rsidP="00AA3E8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1C1C1C"/>
          <w:sz w:val="28"/>
          <w:szCs w:val="28"/>
          <w:lang w:eastAsia="ru-RU"/>
        </w:rPr>
      </w:pPr>
      <w:r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 xml:space="preserve">Напрямки діяльності: коди КВЕД </w:t>
      </w:r>
      <w:r w:rsidR="00AA3E8B"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>86.10 ДІЯЛЬНІСТЬ ЛІКАРНЯНИХ ЗАКЛАДІВ</w:t>
      </w:r>
      <w:r w:rsidR="00012ECB"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>.</w:t>
      </w:r>
      <w:r w:rsidR="00AA3E8B"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 xml:space="preserve"> </w:t>
      </w:r>
    </w:p>
    <w:p w:rsidR="00A420EE" w:rsidRDefault="00D825C6" w:rsidP="00EA642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1C1C1C"/>
          <w:sz w:val="28"/>
          <w:szCs w:val="28"/>
          <w:lang w:eastAsia="ru-RU"/>
        </w:rPr>
      </w:pPr>
      <w:proofErr w:type="spellStart"/>
      <w:r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>Мангушська</w:t>
      </w:r>
      <w:proofErr w:type="spellEnd"/>
      <w:r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 xml:space="preserve"> центральна районна лікарня</w:t>
      </w:r>
      <w:r w:rsidR="00B02B2D"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 xml:space="preserve"> – є</w:t>
      </w:r>
      <w:r w:rsidR="00B02B2D" w:rsidRPr="00D67739">
        <w:rPr>
          <w:rFonts w:ascii="Times New Roman" w:hAnsi="Times New Roman"/>
          <w:sz w:val="28"/>
          <w:szCs w:val="28"/>
        </w:rPr>
        <w:t xml:space="preserve"> комунальним закладом охорони здоров’я зі стаціонаром на </w:t>
      </w:r>
      <w:r w:rsidR="009D1579" w:rsidRPr="00D67739">
        <w:rPr>
          <w:rFonts w:ascii="Times New Roman" w:hAnsi="Times New Roman"/>
          <w:sz w:val="28"/>
          <w:szCs w:val="28"/>
        </w:rPr>
        <w:t>120 л</w:t>
      </w:r>
      <w:r w:rsidR="00B02B2D" w:rsidRPr="00D67739">
        <w:rPr>
          <w:rFonts w:ascii="Times New Roman" w:hAnsi="Times New Roman"/>
          <w:sz w:val="28"/>
          <w:szCs w:val="28"/>
        </w:rPr>
        <w:t>іжок</w:t>
      </w:r>
      <w:r w:rsidR="00012ECB" w:rsidRPr="00D67739">
        <w:rPr>
          <w:rFonts w:ascii="Times New Roman" w:hAnsi="Times New Roman"/>
          <w:sz w:val="28"/>
          <w:szCs w:val="28"/>
        </w:rPr>
        <w:t xml:space="preserve"> та поліклінікою</w:t>
      </w:r>
      <w:r w:rsidR="009D1579" w:rsidRPr="00D67739">
        <w:rPr>
          <w:rFonts w:ascii="Times New Roman" w:hAnsi="Times New Roman"/>
          <w:sz w:val="28"/>
          <w:szCs w:val="28"/>
        </w:rPr>
        <w:t xml:space="preserve"> на 81500</w:t>
      </w:r>
      <w:r w:rsidR="00757F04" w:rsidRPr="00D67739">
        <w:rPr>
          <w:rFonts w:ascii="Times New Roman" w:hAnsi="Times New Roman"/>
          <w:sz w:val="28"/>
          <w:szCs w:val="28"/>
        </w:rPr>
        <w:t xml:space="preserve"> відвідувань на рік</w:t>
      </w:r>
      <w:r w:rsidR="009D1579" w:rsidRPr="00D67739">
        <w:rPr>
          <w:rFonts w:ascii="Times New Roman" w:hAnsi="Times New Roman"/>
          <w:sz w:val="28"/>
          <w:szCs w:val="28"/>
        </w:rPr>
        <w:t xml:space="preserve">, </w:t>
      </w:r>
      <w:r w:rsidR="00012ECB" w:rsidRPr="00D67739">
        <w:rPr>
          <w:rFonts w:ascii="Times New Roman" w:hAnsi="Times New Roman"/>
          <w:sz w:val="28"/>
          <w:szCs w:val="28"/>
        </w:rPr>
        <w:t>у</w:t>
      </w:r>
      <w:r w:rsidR="00B02B2D" w:rsidRPr="00D67739">
        <w:rPr>
          <w:rFonts w:ascii="Times New Roman" w:hAnsi="Times New Roman"/>
          <w:sz w:val="28"/>
          <w:szCs w:val="28"/>
        </w:rPr>
        <w:t xml:space="preserve"> якому передбачається надання </w:t>
      </w:r>
      <w:r w:rsidR="009D1579" w:rsidRPr="00D67739">
        <w:rPr>
          <w:rFonts w:ascii="Times New Roman" w:hAnsi="Times New Roman"/>
          <w:sz w:val="28"/>
          <w:szCs w:val="28"/>
        </w:rPr>
        <w:t>вторинної медичної допомоги</w:t>
      </w:r>
      <w:r w:rsidR="00B02B2D" w:rsidRPr="00D67739">
        <w:rPr>
          <w:rFonts w:ascii="Times New Roman" w:hAnsi="Times New Roman"/>
          <w:sz w:val="28"/>
          <w:szCs w:val="28"/>
        </w:rPr>
        <w:t xml:space="preserve"> в амбулаторних  та стаціонарних умовах</w:t>
      </w:r>
      <w:r w:rsidR="00B02B2D"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 xml:space="preserve">, </w:t>
      </w:r>
      <w:r w:rsidR="00EA642F"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>з</w:t>
      </w:r>
      <w:r w:rsidR="00012ECB"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>аснований</w:t>
      </w:r>
      <w:r w:rsidR="00EA642F"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 xml:space="preserve"> на спільній власності територіальних громад сіл, селищ, </w:t>
      </w:r>
      <w:r w:rsidR="00012ECB"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 xml:space="preserve">міст, </w:t>
      </w:r>
      <w:r w:rsidR="00EA642F"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 xml:space="preserve">що </w:t>
      </w:r>
      <w:r w:rsidR="00012ECB"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>з</w:t>
      </w:r>
      <w:r w:rsidR="00EA642F"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 xml:space="preserve">находиться в управлінні </w:t>
      </w:r>
      <w:r w:rsidR="00012ECB"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>обласної ради,</w:t>
      </w:r>
      <w:r w:rsidR="00EA642F"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 xml:space="preserve"> згідно </w:t>
      </w:r>
      <w:r w:rsidR="00012ECB"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>і</w:t>
      </w:r>
      <w:r w:rsidR="00EA642F"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>з рішенням Донецької обласної</w:t>
      </w:r>
      <w:r w:rsidR="00012ECB"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 xml:space="preserve"> ради від 26 грудня 2013 року N</w:t>
      </w:r>
      <w:r w:rsidR="00EA642F"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 xml:space="preserve"> 6/27-664 «Про прийняття до спільної власності територіальних громад сіл, селищ, міст, що знаходиться в управлінні обласної ради, ПЕРШОТРАВНЕВОЇ ЦЕНТРАЛЬНОЇ РАЙОННОЇ </w:t>
      </w:r>
      <w:r w:rsidR="00012ECB"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>ЛІКАРНІ»</w:t>
      </w:r>
    </w:p>
    <w:p w:rsidR="00F475E5" w:rsidRDefault="00A420EE" w:rsidP="00EA642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1C1C1C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 xml:space="preserve">Статут </w:t>
      </w:r>
      <w:r w:rsidR="00EF611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 xml:space="preserve">та структура </w:t>
      </w:r>
      <w:proofErr w:type="spellStart"/>
      <w:r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>Мангушської</w:t>
      </w:r>
      <w:proofErr w:type="spellEnd"/>
      <w:r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 xml:space="preserve"> центральної районної лікарні (</w:t>
      </w:r>
      <w:r w:rsidR="00AD2187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>електронне посилання</w:t>
      </w:r>
      <w:r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>)</w:t>
      </w:r>
      <w:r w:rsidR="00F475E5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>.</w:t>
      </w:r>
    </w:p>
    <w:p w:rsidR="00F475E5" w:rsidRDefault="007562F7" w:rsidP="00EA642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1C1C1C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 xml:space="preserve">Кошторисні призначення для фінансового забезпечення діяльності </w:t>
      </w:r>
      <w:proofErr w:type="spellStart"/>
      <w:r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>Ма</w:t>
      </w:r>
      <w:r w:rsidR="00FC3765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>гушської</w:t>
      </w:r>
      <w:proofErr w:type="spellEnd"/>
      <w:r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 xml:space="preserve"> центральної районної лікарні складають:</w:t>
      </w:r>
    </w:p>
    <w:p w:rsidR="00F475E5" w:rsidRPr="00F475E5" w:rsidRDefault="00F475E5" w:rsidP="007562F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1C1C1C"/>
          <w:sz w:val="28"/>
          <w:szCs w:val="28"/>
          <w:lang w:eastAsia="ru-RU"/>
        </w:rPr>
      </w:pPr>
      <w:r w:rsidRPr="007562F7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>Загальний фонд -20 518 700,00</w:t>
      </w:r>
      <w:r w:rsidR="00DB2CBD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 xml:space="preserve"> </w:t>
      </w:r>
      <w:proofErr w:type="spellStart"/>
      <w:r w:rsidR="00DB2CBD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>грн</w:t>
      </w:r>
      <w:proofErr w:type="spellEnd"/>
    </w:p>
    <w:p w:rsidR="00F475E5" w:rsidRPr="00F475E5" w:rsidRDefault="00F475E5" w:rsidP="007562F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1C1C1C"/>
          <w:sz w:val="28"/>
          <w:szCs w:val="28"/>
          <w:lang w:eastAsia="ru-RU"/>
        </w:rPr>
      </w:pPr>
      <w:r w:rsidRPr="007562F7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>Спеціальний фонд - 431 400,00</w:t>
      </w:r>
      <w:r w:rsidR="00DB2CBD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 xml:space="preserve"> грн.</w:t>
      </w:r>
    </w:p>
    <w:p w:rsidR="009D1579" w:rsidRPr="00D67739" w:rsidRDefault="009D1579" w:rsidP="00EA642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1C1C1C"/>
          <w:sz w:val="28"/>
          <w:szCs w:val="28"/>
          <w:lang w:eastAsia="ru-RU"/>
        </w:rPr>
      </w:pPr>
      <w:r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>Оплата праці керівника закладу:</w:t>
      </w:r>
      <w:r w:rsidR="00012ECB"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 xml:space="preserve"> посадовий оклад 4546,00 грн., підвищується з урахуванням кваліфікаційної категорії. За рішенням органу управління</w:t>
      </w:r>
      <w:r w:rsidR="00516B53"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 xml:space="preserve"> встановлюються надбавки та доплати у відповідності до чинн</w:t>
      </w:r>
      <w:r w:rsidR="00D67739" w:rsidRPr="00D67739">
        <w:rPr>
          <w:rFonts w:ascii="Times New Roman" w:eastAsia="Times New Roman" w:hAnsi="Times New Roman"/>
          <w:color w:val="1C1C1C"/>
          <w:sz w:val="28"/>
          <w:szCs w:val="28"/>
          <w:lang w:eastAsia="ru-RU"/>
        </w:rPr>
        <w:t>ого законодавства.</w:t>
      </w:r>
    </w:p>
    <w:p w:rsidR="00920043" w:rsidRPr="00D67739" w:rsidRDefault="00920043" w:rsidP="00D5349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</w:pPr>
      <w:r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Строки і місце приймання заяв на участь у конкурсі, номер телефону для довідок та адреса електрон</w:t>
      </w:r>
      <w:r w:rsidR="00D67739"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 xml:space="preserve">ної пошти: заяви приймаються до </w:t>
      </w:r>
      <w:r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 xml:space="preserve">09 лютого 2018 </w:t>
      </w:r>
      <w:r w:rsidR="00665ECD"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року</w:t>
      </w:r>
      <w:r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 xml:space="preserve"> за адресою: м. Краматорськ, вул. Богдана Хмельницького, 6, </w:t>
      </w:r>
      <w:r w:rsidR="00167284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 xml:space="preserve">другий </w:t>
      </w:r>
      <w:r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поверх, каб.7,</w:t>
      </w:r>
      <w:r w:rsidR="009D1579"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 xml:space="preserve"> </w:t>
      </w:r>
      <w:r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тел. 067 620 49 75, e-</w:t>
      </w:r>
      <w:proofErr w:type="spellStart"/>
      <w:r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mail</w:t>
      </w:r>
      <w:proofErr w:type="spellEnd"/>
      <w:r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 xml:space="preserve">: </w:t>
      </w:r>
      <w:hyperlink r:id="rId6" w:history="1">
        <w:r w:rsidRPr="00D67739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zdr.d@dn.gov.ua</w:t>
        </w:r>
      </w:hyperlink>
      <w:r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(тема: Конкурс керівників).</w:t>
      </w:r>
    </w:p>
    <w:p w:rsidR="009E7175" w:rsidRDefault="00665ECD" w:rsidP="009811C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участі у конкурсі особа подає особисто або надсилає поштою конкурсній комісії</w:t>
      </w:r>
      <w:r w:rsidR="00981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D67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811CC" w:rsidRPr="009811CC" w:rsidRDefault="009811CC" w:rsidP="009811C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1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копію паспорта громадянина України;</w:t>
      </w:r>
    </w:p>
    <w:p w:rsidR="009E7175" w:rsidRPr="00D67739" w:rsidRDefault="009D1579" w:rsidP="009811C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n102"/>
      <w:bookmarkEnd w:id="1"/>
      <w:r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письмову </w:t>
      </w:r>
      <w:hyperlink r:id="rId7" w:anchor="n147" w:history="1">
        <w:r w:rsidR="009E7175" w:rsidRPr="00D6773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заяву про участь у конкурсі</w:t>
        </w:r>
      </w:hyperlink>
      <w:r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175"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>із зазначенням основних мотивів для зайняття посади за формою згідно з додатком 1;</w:t>
      </w:r>
    </w:p>
    <w:p w:rsidR="009E7175" w:rsidRPr="00D67739" w:rsidRDefault="009E7175" w:rsidP="009811C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n103"/>
      <w:bookmarkEnd w:id="2"/>
      <w:r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3) </w:t>
      </w:r>
      <w:r w:rsidR="00920043"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>біографічна довідка (</w:t>
      </w:r>
      <w:r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резюме</w:t>
      </w:r>
      <w:r w:rsidR="00920043"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E7175" w:rsidRPr="00D67739" w:rsidRDefault="00920043" w:rsidP="009811C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n104"/>
      <w:bookmarkStart w:id="4" w:name="n105"/>
      <w:bookmarkEnd w:id="3"/>
      <w:bookmarkEnd w:id="4"/>
      <w:r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E7175"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>) копію (копії) документа (документів) про освіту, науковий ступінь, вчене звання, кваліфікаційну категорію, підвищення кваліфікації, які підтверджують відповідність претендента кваліфікаційним вимогам до керівника закладу охорони здоров’я, а також копію трудової книжки або інших документів, що підтверджують досвід роботи;</w:t>
      </w:r>
    </w:p>
    <w:p w:rsidR="009E7175" w:rsidRPr="00D67739" w:rsidRDefault="00920043" w:rsidP="00032CC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n106"/>
      <w:bookmarkEnd w:id="5"/>
      <w:r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D1579"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hyperlink r:id="rId8" w:anchor="n150" w:history="1">
        <w:r w:rsidR="009E7175" w:rsidRPr="00D6773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згоду на обробку персональних даних</w:t>
        </w:r>
      </w:hyperlink>
      <w:r w:rsidR="009D1579" w:rsidRPr="00D677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9E7175"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з додатком 2;</w:t>
      </w:r>
    </w:p>
    <w:p w:rsidR="009E7175" w:rsidRPr="00D67739" w:rsidRDefault="00920043" w:rsidP="00032CC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n107"/>
      <w:bookmarkEnd w:id="6"/>
      <w:r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E7175"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>) конкурсну пропозицію обсягом не більше 15 сторінок друкованого тексту в паперовій та електронній формі</w:t>
      </w:r>
      <w:r w:rsidR="00B02B2D"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02B2D"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учасники конкурсного відбору подають проекти програми розвитку комунального закладу на п’ять років. Комісія заслуховує на своєму засіданні конкурсну пропозицію учасника конкурсу)</w:t>
      </w:r>
      <w:r w:rsidR="009E7175"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E7175" w:rsidRPr="00D67739" w:rsidRDefault="00920043" w:rsidP="00032CC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n108"/>
      <w:bookmarkEnd w:id="7"/>
      <w:r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E7175"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довідку МВС про відсутність судимості;</w:t>
      </w:r>
    </w:p>
    <w:p w:rsidR="009E7175" w:rsidRPr="00D67739" w:rsidRDefault="00920043" w:rsidP="00032CC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n109"/>
      <w:bookmarkEnd w:id="8"/>
      <w:r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E7175"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>) медичні довідки про стан здоров’я, щодо перебування особи на обліку у психоневрологічному та наркологічному закладі охорони здоров’я за формами, затвердженими МОЗ;</w:t>
      </w:r>
    </w:p>
    <w:p w:rsidR="009E7175" w:rsidRPr="00D67739" w:rsidRDefault="00920043" w:rsidP="00032CC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n110"/>
      <w:bookmarkEnd w:id="9"/>
      <w:r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E7175"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hyperlink r:id="rId9" w:anchor="n153" w:history="1">
        <w:r w:rsidR="009E7175" w:rsidRPr="00D6773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попередження</w:t>
        </w:r>
      </w:hyperlink>
      <w:r w:rsidR="001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стосовно встановлених </w:t>
      </w:r>
      <w:hyperlink r:id="rId10" w:tgtFrame="_blank" w:history="1">
        <w:r w:rsidR="009E7175" w:rsidRPr="00D6773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Законом України</w:t>
        </w:r>
      </w:hyperlink>
      <w:r w:rsidR="001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52FB"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E7175"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252FB"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>ро запобігання корупції»</w:t>
      </w:r>
      <w:r w:rsidR="009E7175"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та обмежень, підписане претендентом на посаду, за формою згідно з додатком 3;</w:t>
      </w:r>
    </w:p>
    <w:p w:rsidR="009E7175" w:rsidRPr="00D67739" w:rsidRDefault="00920043" w:rsidP="00032CC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n111"/>
      <w:bookmarkEnd w:id="10"/>
      <w:r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hyperlink r:id="rId11" w:anchor="n157" w:history="1">
        <w:r w:rsidR="009E7175" w:rsidRPr="00D6773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заяву про відсутність у діях особи конфлікту інтересів</w:t>
        </w:r>
      </w:hyperlink>
      <w:r w:rsidR="001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175"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із додатком 4;</w:t>
      </w:r>
    </w:p>
    <w:p w:rsidR="009E7175" w:rsidRPr="00D67739" w:rsidRDefault="00920043" w:rsidP="00032CC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n112"/>
      <w:bookmarkEnd w:id="11"/>
      <w:r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9E7175"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>) підтвердження подання декларації особи, уповноваженої на виконання функцій держави або місцевого самоврядування, за минулий рік (відповідно до абзацу першого </w:t>
      </w:r>
      <w:hyperlink r:id="rId12" w:anchor="n443" w:tgtFrame="_blank" w:history="1">
        <w:r w:rsidR="009E7175" w:rsidRPr="00D6773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частини третьої</w:t>
        </w:r>
      </w:hyperlink>
      <w:r w:rsidR="000252FB"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статті 45 Закону України «Про запобігання корупції»</w:t>
      </w:r>
      <w:r w:rsidR="009E7175"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E7175" w:rsidRPr="00D67739" w:rsidRDefault="009E7175" w:rsidP="004E1FC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n113"/>
      <w:bookmarkEnd w:id="12"/>
      <w:r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Документи, крім заяви про участь у конкурсі, подаються в запечатаному вигляді.</w:t>
      </w:r>
    </w:p>
    <w:p w:rsidR="009A77D1" w:rsidRPr="00D67739" w:rsidRDefault="009A77D1" w:rsidP="009A7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n114"/>
      <w:bookmarkEnd w:id="13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5"/>
        <w:gridCol w:w="5006"/>
      </w:tblGrid>
      <w:tr w:rsidR="009A77D1" w:rsidRPr="00D67739" w:rsidTr="000D7577"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26C76" w:rsidRPr="00D67739" w:rsidRDefault="00EF6119" w:rsidP="000D757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4" w:name="n146"/>
            <w:bookmarkEnd w:id="14"/>
          </w:p>
        </w:tc>
        <w:tc>
          <w:tcPr>
            <w:tcW w:w="23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26C76" w:rsidRPr="00D67739" w:rsidRDefault="00032CCB" w:rsidP="00032C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 1 </w:t>
            </w:r>
          </w:p>
        </w:tc>
      </w:tr>
    </w:tbl>
    <w:bookmarkStart w:id="15" w:name="n147"/>
    <w:bookmarkEnd w:id="15"/>
    <w:p w:rsidR="009A77D1" w:rsidRPr="00D67739" w:rsidRDefault="009A77D1" w:rsidP="009A77D1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D67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"http://zakon0.rada.gov.ua/laws/file/text/59/f472252n166.doc" </w:instrText>
      </w:r>
      <w:r w:rsidRPr="00D67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D67739">
        <w:rPr>
          <w:rFonts w:ascii="Times New Roman" w:eastAsia="Times New Roman" w:hAnsi="Times New Roman" w:cs="Times New Roman"/>
          <w:b/>
          <w:bCs/>
          <w:color w:val="C00909"/>
          <w:sz w:val="28"/>
          <w:szCs w:val="28"/>
          <w:u w:val="single"/>
          <w:lang w:eastAsia="ru-RU"/>
        </w:rPr>
        <w:t>ЗАЯВА</w:t>
      </w:r>
      <w:r w:rsidRPr="00D67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5"/>
        <w:gridCol w:w="5006"/>
      </w:tblGrid>
      <w:tr w:rsidR="009A77D1" w:rsidRPr="00D67739" w:rsidTr="000D7577"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26C76" w:rsidRPr="00D67739" w:rsidRDefault="00EF6119" w:rsidP="000D757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" w:name="n148"/>
            <w:bookmarkEnd w:id="16"/>
          </w:p>
        </w:tc>
        <w:tc>
          <w:tcPr>
            <w:tcW w:w="23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26C76" w:rsidRPr="00D67739" w:rsidRDefault="009A77D1" w:rsidP="00032C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 2 </w:t>
            </w:r>
          </w:p>
        </w:tc>
      </w:tr>
    </w:tbl>
    <w:bookmarkStart w:id="17" w:name="n150"/>
    <w:bookmarkEnd w:id="17"/>
    <w:p w:rsidR="009A77D1" w:rsidRPr="00D67739" w:rsidRDefault="009A77D1" w:rsidP="009A77D1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D67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"http://zakon0.rada.gov.ua/laws/file/text/59/f472252n167.doc" </w:instrText>
      </w:r>
      <w:r w:rsidRPr="00D67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D67739">
        <w:rPr>
          <w:rFonts w:ascii="Times New Roman" w:eastAsia="Times New Roman" w:hAnsi="Times New Roman" w:cs="Times New Roman"/>
          <w:b/>
          <w:bCs/>
          <w:color w:val="C00909"/>
          <w:sz w:val="28"/>
          <w:szCs w:val="28"/>
          <w:u w:val="single"/>
          <w:lang w:eastAsia="ru-RU"/>
        </w:rPr>
        <w:t>ЗГОДА</w:t>
      </w:r>
      <w:r w:rsidRPr="00D67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D677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D67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677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обробку персональних даних</w:t>
      </w:r>
    </w:p>
    <w:p w:rsidR="009A77D1" w:rsidRPr="00D67739" w:rsidRDefault="00EF6119" w:rsidP="009A7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n161"/>
      <w:bookmarkEnd w:id="18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align="center" o:hrstd="t" o:hrnoshade="t" o:hr="t" fillcolor="black" stroked="f"/>
        </w:pic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5"/>
        <w:gridCol w:w="5006"/>
      </w:tblGrid>
      <w:tr w:rsidR="009A77D1" w:rsidRPr="00D67739" w:rsidTr="000D7577"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26C76" w:rsidRPr="00D67739" w:rsidRDefault="00EF6119" w:rsidP="000D757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9" w:name="n151"/>
            <w:bookmarkEnd w:id="19"/>
          </w:p>
        </w:tc>
        <w:tc>
          <w:tcPr>
            <w:tcW w:w="23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26C76" w:rsidRPr="00D67739" w:rsidRDefault="00032CCB" w:rsidP="00032C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 3 </w:t>
            </w:r>
          </w:p>
        </w:tc>
      </w:tr>
    </w:tbl>
    <w:p w:rsidR="009A77D1" w:rsidRPr="00D67739" w:rsidRDefault="009A77D1" w:rsidP="009A77D1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0" w:name="n153"/>
      <w:bookmarkEnd w:id="20"/>
      <w:r w:rsidRPr="00D677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ПОПЕРЕДЖЕННЯ </w:t>
      </w:r>
      <w:r w:rsidRPr="00D67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677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 вимоги та обмеження, встановлені Законом України “Про запобігання корупції”</w:t>
      </w:r>
    </w:p>
    <w:p w:rsidR="009A77D1" w:rsidRPr="00D67739" w:rsidRDefault="009A77D1" w:rsidP="009A77D1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1" w:name="n154"/>
      <w:bookmarkEnd w:id="21"/>
      <w:r w:rsidRPr="00D67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 вимоги та обмеженн</w:t>
      </w:r>
      <w:r w:rsidR="00706B7B" w:rsidRPr="00D67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 встановлені Законом України «Про запобігання корупції»</w:t>
      </w:r>
      <w:r w:rsidRPr="00D67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попереджений (попереджена).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4"/>
        <w:gridCol w:w="1451"/>
        <w:gridCol w:w="1668"/>
        <w:gridCol w:w="3338"/>
      </w:tblGrid>
      <w:tr w:rsidR="009A77D1" w:rsidRPr="00D67739" w:rsidTr="000D7577">
        <w:trPr>
          <w:jc w:val="center"/>
        </w:trPr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26C76" w:rsidRPr="00D67739" w:rsidRDefault="009A77D1" w:rsidP="000D757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2" w:name="n155"/>
            <w:bookmarkEnd w:id="22"/>
            <w:r w:rsidRPr="00D6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 __________20___ р.</w:t>
            </w:r>
          </w:p>
        </w:tc>
        <w:tc>
          <w:tcPr>
            <w:tcW w:w="5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26C76" w:rsidRPr="00D67739" w:rsidRDefault="009A77D1" w:rsidP="000D757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 </w:t>
            </w:r>
            <w:r w:rsidRPr="00D6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677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(підпис)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26C76" w:rsidRPr="00D67739" w:rsidRDefault="009A77D1" w:rsidP="000D757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 </w:t>
            </w:r>
            <w:r w:rsidRPr="00D6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677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(прізвище, та ініціали)</w:t>
            </w:r>
          </w:p>
        </w:tc>
      </w:tr>
      <w:tr w:rsidR="009A77D1" w:rsidRPr="00D67739" w:rsidTr="000D7577">
        <w:tblPrEx>
          <w:jc w:val="left"/>
        </w:tblPrEx>
        <w:tc>
          <w:tcPr>
            <w:tcW w:w="2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26C76" w:rsidRPr="00D67739" w:rsidRDefault="00EF6119" w:rsidP="000D757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3" w:name="n162"/>
            <w:bookmarkStart w:id="24" w:name="n156"/>
            <w:bookmarkEnd w:id="23"/>
            <w:bookmarkEnd w:id="24"/>
          </w:p>
        </w:tc>
        <w:tc>
          <w:tcPr>
            <w:tcW w:w="23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26C76" w:rsidRPr="00D67739" w:rsidRDefault="009A77D1" w:rsidP="00032C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 4 </w:t>
            </w:r>
            <w:r w:rsidRPr="00D6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bookmarkStart w:id="25" w:name="n157"/>
    <w:bookmarkEnd w:id="25"/>
    <w:p w:rsidR="009A77D1" w:rsidRPr="00D67739" w:rsidRDefault="009A77D1" w:rsidP="009A77D1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D67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"http://zakon0.rada.gov.ua/laws/file/text/59/f472252n168.doc" </w:instrText>
      </w:r>
      <w:r w:rsidRPr="00D67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D67739">
        <w:rPr>
          <w:rFonts w:ascii="Times New Roman" w:eastAsia="Times New Roman" w:hAnsi="Times New Roman" w:cs="Times New Roman"/>
          <w:b/>
          <w:bCs/>
          <w:color w:val="C00909"/>
          <w:sz w:val="28"/>
          <w:szCs w:val="28"/>
          <w:u w:val="single"/>
          <w:lang w:eastAsia="ru-RU"/>
        </w:rPr>
        <w:t>ЗАЯВА</w:t>
      </w:r>
      <w:r w:rsidRPr="00D67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D677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D67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677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 відсутність конфлікту інтересів</w:t>
      </w:r>
    </w:p>
    <w:p w:rsidR="009E7175" w:rsidRPr="00D67739" w:rsidRDefault="009E7175" w:rsidP="009E717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32CCB" w:rsidRPr="00D67739" w:rsidRDefault="00032CCB" w:rsidP="0092004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Особа, яка виявила бажання взяти участь у конкурсі, може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</w:r>
    </w:p>
    <w:p w:rsidR="00032CCB" w:rsidRPr="00D67739" w:rsidRDefault="00032CCB" w:rsidP="0092004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6" w:name="n115"/>
      <w:bookmarkEnd w:id="26"/>
      <w:r w:rsidRPr="00D67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Відповідальність за достовірність поданих документів несе претендент.</w:t>
      </w:r>
    </w:p>
    <w:p w:rsidR="001E7701" w:rsidRPr="00D67739" w:rsidRDefault="001E7701" w:rsidP="0092004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</w:pPr>
      <w:r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 xml:space="preserve">Інформація, що стосується матеріально-технічної бази комунального </w:t>
      </w:r>
      <w:r w:rsidRPr="00D677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закладу</w:t>
      </w:r>
      <w:r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 xml:space="preserve"> (відомості про основні засоби, запаси, баланс, звіт про фінансові результати, звіт про рух грошових коштів) подається з проектом програми розвитку.</w:t>
      </w:r>
    </w:p>
    <w:p w:rsidR="001E7701" w:rsidRPr="00D67739" w:rsidRDefault="001E7701" w:rsidP="00665EC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73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Інформація про місце та дату проведення конкурсу буде повідомлено додатково.</w:t>
      </w:r>
    </w:p>
    <w:p w:rsidR="001E7701" w:rsidRPr="00D67739" w:rsidRDefault="001E7701" w:rsidP="0092004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</w:pPr>
      <w:r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Результати конкурсу будуть оприлюднені на офіційному веб-сайті Донецької обласної державної адміністрації та департаменту охорони здоров’я Донецької обласної державної адміністрації.</w:t>
      </w:r>
    </w:p>
    <w:p w:rsidR="001E7701" w:rsidRPr="00D67739" w:rsidRDefault="001E7701" w:rsidP="0092004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</w:pPr>
      <w:r w:rsidRPr="00D67739"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  <w:t>Вимоги до претендентів:</w:t>
      </w:r>
    </w:p>
    <w:p w:rsidR="001E7701" w:rsidRPr="00D67739" w:rsidRDefault="001E7701" w:rsidP="00665EC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</w:pPr>
      <w:r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громадянство України;</w:t>
      </w:r>
    </w:p>
    <w:p w:rsidR="001E7701" w:rsidRPr="00D67739" w:rsidRDefault="00665ECD" w:rsidP="0056160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</w:pPr>
      <w:r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 xml:space="preserve">- </w:t>
      </w:r>
      <w:r w:rsidR="001E7701"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повна вища освіта відповідного напряму підготовки (магістр,спеціаліст);</w:t>
      </w:r>
    </w:p>
    <w:p w:rsidR="001E7701" w:rsidRPr="00D67739" w:rsidRDefault="00D67739" w:rsidP="0056160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 xml:space="preserve">- </w:t>
      </w:r>
      <w:r w:rsidR="001E7701"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 xml:space="preserve">післядипломна спецiалiзацiя за фахом «Органiзацiя i </w:t>
      </w:r>
      <w:r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управління</w:t>
      </w:r>
      <w:r w:rsidR="001E7701"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 xml:space="preserve"> охороною здоров’я». Квалiфiкацiйна категорiя за </w:t>
      </w:r>
      <w:r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лікарською</w:t>
      </w:r>
      <w:r w:rsidR="001E7701"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 xml:space="preserve"> спецiальнiстю та за фахом «Органiзацiя </w:t>
      </w:r>
      <w:r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управління</w:t>
      </w:r>
      <w:r w:rsidR="001E7701"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 xml:space="preserve"> охороною здоров’я»;</w:t>
      </w:r>
    </w:p>
    <w:p w:rsidR="001E7701" w:rsidRPr="00D67739" w:rsidRDefault="00D67739" w:rsidP="0056160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 xml:space="preserve">- </w:t>
      </w:r>
      <w:r w:rsidR="001E7701"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 xml:space="preserve">стаж роботи за </w:t>
      </w:r>
      <w:r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лікарською</w:t>
      </w:r>
      <w:r w:rsidR="001E7701"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 xml:space="preserve"> спецiальнiстю - не менше 7 </w:t>
      </w:r>
      <w:r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років</w:t>
      </w:r>
      <w:r w:rsidR="001E7701"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 xml:space="preserve">, та за фахом «Органiзацiя i </w:t>
      </w:r>
      <w:r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управління</w:t>
      </w:r>
      <w:r w:rsidR="001E7701"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 xml:space="preserve"> охороною здоров’я» - не менше 5 </w:t>
      </w:r>
      <w:r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років</w:t>
      </w:r>
      <w:r w:rsidR="001E7701"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 xml:space="preserve">; </w:t>
      </w:r>
    </w:p>
    <w:p w:rsidR="001E7701" w:rsidRPr="00D67739" w:rsidRDefault="00D67739" w:rsidP="0056160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 xml:space="preserve">- </w:t>
      </w:r>
      <w:r w:rsidR="001E7701"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вільне володіння державною мовою, достатній рівень знань законодавства (Конституції України, законодавства України з охорони здоров’я, антикорупційного законодавства, інші законодавчі та нормативно-правові акти);</w:t>
      </w:r>
    </w:p>
    <w:p w:rsidR="001E7701" w:rsidRPr="00D67739" w:rsidRDefault="00D67739" w:rsidP="0056160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 xml:space="preserve">- </w:t>
      </w:r>
      <w:r w:rsidR="001E7701"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здатність за своїми діловими та моральними якостями, освітнім і професійним рівнем виконувати відповідні обов’язки;</w:t>
      </w:r>
    </w:p>
    <w:p w:rsidR="001E7701" w:rsidRPr="00D67739" w:rsidRDefault="00D67739" w:rsidP="00D6773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 xml:space="preserve">- </w:t>
      </w:r>
      <w:r w:rsidR="001E7701"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високі моральні, ділові, професійні якос</w:t>
      </w:r>
      <w:r w:rsidR="00920043" w:rsidRPr="00D67739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ті та організаторські здібності.</w:t>
      </w:r>
    </w:p>
    <w:p w:rsidR="001E7701" w:rsidRPr="00D67739" w:rsidRDefault="001E7701" w:rsidP="0056160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148E" w:rsidRPr="00D67739" w:rsidRDefault="00EF6119" w:rsidP="005616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7" w:name="n160"/>
      <w:bookmarkEnd w:id="2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6" style="width:0;height:0" o:hralign="center" o:hrstd="t" o:hrnoshade="t" o:hr="t" fillcolor="black" stroked="f"/>
        </w:pict>
      </w:r>
    </w:p>
    <w:sectPr w:rsidR="00FD148E" w:rsidRPr="00D67739" w:rsidSect="00032CC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F320B"/>
    <w:multiLevelType w:val="hybridMultilevel"/>
    <w:tmpl w:val="6A301F08"/>
    <w:lvl w:ilvl="0" w:tplc="1408FEE0">
      <w:start w:val="7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609D2080"/>
    <w:multiLevelType w:val="multilevel"/>
    <w:tmpl w:val="0294533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069"/>
    <w:rsid w:val="00012ECB"/>
    <w:rsid w:val="000252FB"/>
    <w:rsid w:val="00032CCB"/>
    <w:rsid w:val="00155069"/>
    <w:rsid w:val="00167284"/>
    <w:rsid w:val="001E7701"/>
    <w:rsid w:val="00226DC9"/>
    <w:rsid w:val="004E1FC4"/>
    <w:rsid w:val="00516B53"/>
    <w:rsid w:val="00561604"/>
    <w:rsid w:val="005E760E"/>
    <w:rsid w:val="00665ECD"/>
    <w:rsid w:val="00706B7B"/>
    <w:rsid w:val="007562F7"/>
    <w:rsid w:val="00757F04"/>
    <w:rsid w:val="00874AD4"/>
    <w:rsid w:val="00920043"/>
    <w:rsid w:val="009811CC"/>
    <w:rsid w:val="009A77D1"/>
    <w:rsid w:val="009D1579"/>
    <w:rsid w:val="009E7175"/>
    <w:rsid w:val="00A420EE"/>
    <w:rsid w:val="00AA3E8B"/>
    <w:rsid w:val="00AD2187"/>
    <w:rsid w:val="00B02B2D"/>
    <w:rsid w:val="00D53490"/>
    <w:rsid w:val="00D67739"/>
    <w:rsid w:val="00D825C6"/>
    <w:rsid w:val="00DB2CBD"/>
    <w:rsid w:val="00EA642F"/>
    <w:rsid w:val="00EF6119"/>
    <w:rsid w:val="00F475E5"/>
    <w:rsid w:val="00FC3765"/>
    <w:rsid w:val="00FD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70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2004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65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5ECD"/>
    <w:rPr>
      <w:rFonts w:ascii="Tahoma" w:hAnsi="Tahoma" w:cs="Tahoma"/>
      <w:sz w:val="16"/>
      <w:szCs w:val="16"/>
    </w:rPr>
  </w:style>
  <w:style w:type="character" w:customStyle="1" w:styleId="m-8972522225439983027xfmc1">
    <w:name w:val="m_-8972522225439983027xfmc1"/>
    <w:basedOn w:val="a0"/>
    <w:rsid w:val="00F475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70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2004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65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5ECD"/>
    <w:rPr>
      <w:rFonts w:ascii="Tahoma" w:hAnsi="Tahoma" w:cs="Tahoma"/>
      <w:sz w:val="16"/>
      <w:szCs w:val="16"/>
    </w:rPr>
  </w:style>
  <w:style w:type="character" w:customStyle="1" w:styleId="m-8972522225439983027xfmc1">
    <w:name w:val="m_-8972522225439983027xfmc1"/>
    <w:basedOn w:val="a0"/>
    <w:rsid w:val="00F47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0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9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0.rada.gov.ua/laws/show/1094-2017-%D0%BF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akon0.rada.gov.ua/laws/show/1094-2017-%D0%BF" TargetMode="External"/><Relationship Id="rId12" Type="http://schemas.openxmlformats.org/officeDocument/2006/relationships/hyperlink" Target="http://zakon0.rada.gov.ua/laws/show/1700-18/paran44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dr.d@dn.gov.ua" TargetMode="External"/><Relationship Id="rId11" Type="http://schemas.openxmlformats.org/officeDocument/2006/relationships/hyperlink" Target="http://zakon0.rada.gov.ua/laws/show/1094-2017-%D0%B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akon0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0.rada.gov.ua/laws/show/1094-2017-%D0%B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2018-01-25T11:14:00Z</cp:lastPrinted>
  <dcterms:created xsi:type="dcterms:W3CDTF">2018-01-24T13:12:00Z</dcterms:created>
  <dcterms:modified xsi:type="dcterms:W3CDTF">2018-01-25T13:37:00Z</dcterms:modified>
</cp:coreProperties>
</file>