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78" w:rsidRPr="00BF43DD" w:rsidRDefault="00122378" w:rsidP="00122378">
      <w:pPr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Форма т</w:t>
      </w:r>
      <w:r w:rsidRPr="00BF43DD">
        <w:rPr>
          <w:rFonts w:eastAsia="Calibri"/>
          <w:b/>
          <w:color w:val="auto"/>
          <w:sz w:val="28"/>
          <w:szCs w:val="28"/>
        </w:rPr>
        <w:t>ехнічн</w:t>
      </w:r>
      <w:r>
        <w:rPr>
          <w:rFonts w:eastAsia="Calibri"/>
          <w:b/>
          <w:color w:val="auto"/>
          <w:sz w:val="28"/>
          <w:szCs w:val="28"/>
        </w:rPr>
        <w:t>ого</w:t>
      </w:r>
      <w:r w:rsidRPr="00BF43DD">
        <w:rPr>
          <w:rFonts w:eastAsia="Calibri"/>
          <w:b/>
          <w:color w:val="auto"/>
          <w:sz w:val="28"/>
          <w:szCs w:val="28"/>
        </w:rPr>
        <w:t xml:space="preserve"> завдання на інвестиційну програму</w:t>
      </w:r>
      <w:r>
        <w:rPr>
          <w:rFonts w:eastAsia="Calibri"/>
          <w:b/>
          <w:color w:val="auto"/>
          <w:sz w:val="28"/>
          <w:szCs w:val="28"/>
        </w:rPr>
        <w:t xml:space="preserve"> і</w:t>
      </w:r>
      <w:r w:rsidRPr="00BF43DD">
        <w:rPr>
          <w:rFonts w:eastAsia="Calibri"/>
          <w:b/>
          <w:color w:val="auto"/>
          <w:sz w:val="28"/>
          <w:szCs w:val="28"/>
        </w:rPr>
        <w:t xml:space="preserve"> проект регіонального розвитку, що </w:t>
      </w:r>
      <w:r>
        <w:rPr>
          <w:rFonts w:eastAsia="Calibri"/>
          <w:b/>
          <w:color w:val="auto"/>
          <w:sz w:val="28"/>
          <w:szCs w:val="28"/>
        </w:rPr>
        <w:t xml:space="preserve">може реалізовуватися </w:t>
      </w:r>
      <w:r w:rsidRPr="00BF43DD">
        <w:rPr>
          <w:rFonts w:eastAsia="Calibri"/>
          <w:b/>
          <w:color w:val="auto"/>
          <w:sz w:val="28"/>
          <w:szCs w:val="28"/>
        </w:rPr>
        <w:t xml:space="preserve">за рахунок коштів </w:t>
      </w:r>
      <w:r>
        <w:rPr>
          <w:rFonts w:eastAsia="Calibri"/>
          <w:b/>
          <w:color w:val="auto"/>
          <w:sz w:val="28"/>
          <w:szCs w:val="28"/>
        </w:rPr>
        <w:t>д</w:t>
      </w:r>
      <w:r w:rsidRPr="00BF43DD">
        <w:rPr>
          <w:rFonts w:eastAsia="Calibri"/>
          <w:b/>
          <w:color w:val="auto"/>
          <w:sz w:val="28"/>
          <w:szCs w:val="28"/>
        </w:rPr>
        <w:t>ержавного фонду регіонального розвитку</w:t>
      </w:r>
    </w:p>
    <w:p w:rsidR="00122378" w:rsidRDefault="00122378" w:rsidP="00122378">
      <w:pPr>
        <w:ind w:firstLine="851"/>
        <w:jc w:val="center"/>
        <w:rPr>
          <w:rFonts w:eastAsia="Calibri"/>
          <w:bCs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1134"/>
        <w:gridCol w:w="1124"/>
        <w:gridCol w:w="1418"/>
        <w:gridCol w:w="1569"/>
      </w:tblGrid>
      <w:tr w:rsidR="00122378" w:rsidRPr="00367341" w:rsidTr="00764C9D">
        <w:tc>
          <w:tcPr>
            <w:tcW w:w="3970" w:type="dxa"/>
            <w:shd w:val="clear" w:color="auto" w:fill="auto"/>
          </w:tcPr>
          <w:p w:rsidR="00122378" w:rsidRPr="00076329" w:rsidRDefault="00122378" w:rsidP="00726CB7">
            <w:pPr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1. Назва </w:t>
            </w:r>
            <w:r w:rsidRPr="00076329">
              <w:rPr>
                <w:sz w:val="26"/>
                <w:szCs w:val="26"/>
              </w:rPr>
              <w:t>програми і проекту</w:t>
            </w:r>
            <w:r w:rsidRPr="00076329">
              <w:rPr>
                <w:rFonts w:eastAsia="Calibri"/>
                <w:sz w:val="26"/>
                <w:szCs w:val="26"/>
              </w:rPr>
              <w:t xml:space="preserve"> </w:t>
            </w:r>
            <w:r w:rsidRPr="00076329">
              <w:rPr>
                <w:rFonts w:eastAsia="Calibri"/>
                <w:color w:val="auto"/>
                <w:sz w:val="26"/>
                <w:szCs w:val="26"/>
              </w:rPr>
              <w:t>регіонального розвитку, що може реалізовуватися за рахунок коштів державного фонду регіонального розвитку</w:t>
            </w:r>
            <w:r w:rsidRPr="00076329">
              <w:rPr>
                <w:rFonts w:eastAsia="Calibri"/>
                <w:sz w:val="26"/>
                <w:szCs w:val="26"/>
              </w:rPr>
              <w:t xml:space="preserve"> (далі – проект)</w:t>
            </w:r>
          </w:p>
          <w:p w:rsidR="00122378" w:rsidRPr="00076329" w:rsidRDefault="00122378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 w:rsidR="00122378" w:rsidRPr="003B7F5F" w:rsidRDefault="003B7F5F" w:rsidP="006E5FD3">
            <w:pPr>
              <w:spacing w:before="40" w:after="40"/>
              <w:jc w:val="both"/>
              <w:rPr>
                <w:bCs/>
                <w:color w:val="auto"/>
                <w:sz w:val="26"/>
                <w:szCs w:val="26"/>
              </w:rPr>
            </w:pPr>
            <w:r w:rsidRPr="003B7F5F">
              <w:rPr>
                <w:bCs/>
                <w:color w:val="auto"/>
                <w:sz w:val="26"/>
                <w:szCs w:val="26"/>
              </w:rPr>
              <w:t>Створення індустріальних парків (далі – ІП)</w:t>
            </w:r>
          </w:p>
        </w:tc>
      </w:tr>
      <w:tr w:rsidR="00122378" w:rsidRPr="00367341" w:rsidTr="00764C9D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2. Номер і назва завдання з Державної стратегії регіонального розвитку та відповідної стратегії розвитку регіону, якому відповідає проект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5"/>
          </w:tcPr>
          <w:p w:rsidR="00122378" w:rsidRPr="006E5FD3" w:rsidRDefault="005B5FB1" w:rsidP="00681E36">
            <w:pPr>
              <w:pBdr>
                <w:left w:val="single" w:sz="18" w:space="4" w:color="auto"/>
              </w:pBdr>
              <w:spacing w:before="40" w:after="40"/>
              <w:jc w:val="both"/>
              <w:rPr>
                <w:bCs/>
                <w:color w:val="auto"/>
                <w:sz w:val="26"/>
                <w:szCs w:val="26"/>
              </w:rPr>
            </w:pPr>
            <w:bookmarkStart w:id="0" w:name="_GoBack"/>
            <w:r w:rsidRPr="005B5FB1">
              <w:rPr>
                <w:bCs/>
                <w:color w:val="auto"/>
                <w:sz w:val="26"/>
                <w:szCs w:val="26"/>
              </w:rPr>
              <w:t>1.2.1.</w:t>
            </w:r>
            <w:r>
              <w:rPr>
                <w:bCs/>
                <w:color w:val="auto"/>
                <w:sz w:val="26"/>
                <w:szCs w:val="26"/>
              </w:rPr>
              <w:t>С</w:t>
            </w:r>
            <w:r w:rsidRPr="005B5FB1">
              <w:rPr>
                <w:bCs/>
                <w:color w:val="auto"/>
                <w:sz w:val="26"/>
                <w:szCs w:val="26"/>
              </w:rPr>
              <w:t>творювати підприємницьку інфраструктуру, спростити та збільшити прозорість адміністративних процедур, зокрема на депресивних територіях (у т.ч. малі міста)</w:t>
            </w:r>
            <w:bookmarkEnd w:id="0"/>
          </w:p>
        </w:tc>
      </w:tr>
      <w:tr w:rsidR="00122378" w:rsidRPr="00367341" w:rsidTr="00764C9D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3. Мета та завдання проекту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5"/>
          </w:tcPr>
          <w:p w:rsidR="00AD1419" w:rsidRPr="00367341" w:rsidRDefault="003B7F5F" w:rsidP="003B7F5F">
            <w:pPr>
              <w:spacing w:before="40" w:after="40"/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 w:rsidRPr="003B7F5F">
              <w:rPr>
                <w:bCs/>
                <w:color w:val="auto"/>
                <w:sz w:val="26"/>
                <w:szCs w:val="26"/>
              </w:rPr>
              <w:t>Залучення інвестицій</w:t>
            </w:r>
            <w:r>
              <w:rPr>
                <w:bCs/>
                <w:color w:val="auto"/>
                <w:sz w:val="26"/>
                <w:szCs w:val="26"/>
              </w:rPr>
              <w:t xml:space="preserve"> в область, створення нових робочих місць, </w:t>
            </w:r>
            <w:r w:rsidRPr="003B7F5F">
              <w:rPr>
                <w:bCs/>
                <w:color w:val="auto"/>
                <w:sz w:val="26"/>
                <w:szCs w:val="26"/>
              </w:rPr>
              <w:t>зменшення рівня безробіття, збільшення надходжень до місцевого бюджету, підвищення конкурентоспроможності регіону покращення добробуту та рівня життя населення регіону</w:t>
            </w:r>
          </w:p>
        </w:tc>
      </w:tr>
      <w:tr w:rsidR="00122378" w:rsidRPr="00367341" w:rsidTr="00764C9D">
        <w:tc>
          <w:tcPr>
            <w:tcW w:w="3970" w:type="dxa"/>
          </w:tcPr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4. Територія, на яку проект матиме вплив</w:t>
            </w:r>
          </w:p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5"/>
          </w:tcPr>
          <w:p w:rsidR="00AD1419" w:rsidRPr="005B4E7A" w:rsidRDefault="003B7F5F" w:rsidP="00726CB7">
            <w:pPr>
              <w:spacing w:before="40" w:after="40"/>
            </w:pPr>
            <w:r w:rsidRPr="003B7F5F">
              <w:rPr>
                <w:bCs/>
                <w:color w:val="auto"/>
                <w:sz w:val="26"/>
                <w:szCs w:val="26"/>
              </w:rPr>
              <w:t xml:space="preserve">Міста </w:t>
            </w:r>
            <w:proofErr w:type="spellStart"/>
            <w:r w:rsidRPr="003B7F5F">
              <w:rPr>
                <w:bCs/>
                <w:color w:val="auto"/>
                <w:sz w:val="26"/>
                <w:szCs w:val="26"/>
              </w:rPr>
              <w:t>Торецьк</w:t>
            </w:r>
            <w:proofErr w:type="spellEnd"/>
            <w:r w:rsidRPr="003B7F5F">
              <w:rPr>
                <w:bCs/>
                <w:color w:val="auto"/>
                <w:sz w:val="26"/>
                <w:szCs w:val="26"/>
              </w:rPr>
              <w:t xml:space="preserve">, Маріуполь, Костянтинівка, Слов’янськ, </w:t>
            </w:r>
            <w:proofErr w:type="spellStart"/>
            <w:r w:rsidRPr="003B7F5F">
              <w:rPr>
                <w:bCs/>
                <w:color w:val="auto"/>
                <w:sz w:val="26"/>
                <w:szCs w:val="26"/>
              </w:rPr>
              <w:t>Бахмут</w:t>
            </w:r>
            <w:proofErr w:type="spellEnd"/>
          </w:p>
        </w:tc>
      </w:tr>
      <w:tr w:rsidR="005B4E7A" w:rsidRPr="00367341" w:rsidTr="00764C9D">
        <w:tc>
          <w:tcPr>
            <w:tcW w:w="3970" w:type="dxa"/>
          </w:tcPr>
          <w:p w:rsidR="005B4E7A" w:rsidRPr="00076329" w:rsidRDefault="005B4E7A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 xml:space="preserve">5. Кількість населення, на яке поширюватиметься проект </w:t>
            </w:r>
          </w:p>
          <w:p w:rsidR="005B4E7A" w:rsidRPr="00076329" w:rsidRDefault="005B4E7A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5"/>
          </w:tcPr>
          <w:p w:rsidR="005B4E7A" w:rsidRPr="005B4E7A" w:rsidRDefault="003B7F5F" w:rsidP="006E5FD3">
            <w:pPr>
              <w:spacing w:before="40" w:after="40"/>
            </w:pPr>
            <w:r w:rsidRPr="003B7F5F">
              <w:rPr>
                <w:bCs/>
                <w:color w:val="auto"/>
                <w:sz w:val="26"/>
                <w:szCs w:val="26"/>
              </w:rPr>
              <w:t>до 1000,0 тис. осіб</w:t>
            </w:r>
          </w:p>
        </w:tc>
      </w:tr>
      <w:tr w:rsidR="005B4E7A" w:rsidRPr="00367341" w:rsidTr="00764C9D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6. Опис проблеми, на вирішення якої спрямований проект 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5"/>
          </w:tcPr>
          <w:p w:rsidR="003B7F5F" w:rsidRPr="003B7F5F" w:rsidRDefault="003B7F5F" w:rsidP="003B7F5F">
            <w:pPr>
              <w:pStyle w:val="a6"/>
              <w:shd w:val="clear" w:color="auto" w:fill="FFFFFF"/>
              <w:spacing w:before="0" w:beforeAutospacing="0" w:after="0" w:afterAutospacing="0" w:line="255" w:lineRule="atLeast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У Донецькій області відсутні взагалі індустріальні  </w:t>
            </w:r>
            <w:r w:rsidRPr="003B7F5F">
              <w:rPr>
                <w:bCs/>
                <w:sz w:val="26"/>
                <w:szCs w:val="26"/>
                <w:lang w:val="uk-UA"/>
              </w:rPr>
              <w:t>парк</w:t>
            </w:r>
            <w:r w:rsidR="00764C9D">
              <w:rPr>
                <w:bCs/>
                <w:sz w:val="26"/>
                <w:szCs w:val="26"/>
                <w:lang w:val="uk-UA"/>
              </w:rPr>
              <w:t>и, які</w:t>
            </w:r>
            <w:r w:rsidRPr="003B7F5F">
              <w:rPr>
                <w:bCs/>
                <w:sz w:val="26"/>
                <w:szCs w:val="26"/>
                <w:lang w:val="uk-UA"/>
              </w:rPr>
              <w:t xml:space="preserve"> створю</w:t>
            </w:r>
            <w:r w:rsidR="00764C9D">
              <w:rPr>
                <w:bCs/>
                <w:sz w:val="26"/>
                <w:szCs w:val="26"/>
                <w:lang w:val="uk-UA"/>
              </w:rPr>
              <w:t>ю</w:t>
            </w:r>
            <w:r w:rsidRPr="003B7F5F">
              <w:rPr>
                <w:bCs/>
                <w:sz w:val="26"/>
                <w:szCs w:val="26"/>
                <w:lang w:val="uk-UA"/>
              </w:rPr>
              <w:t>ться з метою залучення нових інвестицій, підвищення якості продукції та розвитку ІТ технологій, економічного розвитку регіону, створення додаткових робочих місць. Для молодого бізнесу, найкращий варіант - не самостійно будувати виробничу інфраструктуру, а інвестувати в індустріальний парк. Отриманні інвестором земельні ділянки в індустріальному парку, суттєво скоротять очікування до початку виробництва продукції. Замість декількох років, випуск нової продукції розпочинається вже через 6-9 місяців.</w:t>
            </w:r>
          </w:p>
          <w:p w:rsidR="003B7F5F" w:rsidRPr="003B7F5F" w:rsidRDefault="003B7F5F" w:rsidP="003B7F5F">
            <w:pPr>
              <w:pStyle w:val="a6"/>
              <w:shd w:val="clear" w:color="auto" w:fill="FFFFFF"/>
              <w:spacing w:before="0" w:beforeAutospacing="0" w:after="0" w:afterAutospacing="0" w:line="255" w:lineRule="atLeast"/>
              <w:jc w:val="both"/>
              <w:rPr>
                <w:bCs/>
                <w:sz w:val="26"/>
                <w:szCs w:val="26"/>
                <w:lang w:val="uk-UA"/>
              </w:rPr>
            </w:pPr>
            <w:r w:rsidRPr="003B7F5F">
              <w:rPr>
                <w:bCs/>
                <w:sz w:val="26"/>
                <w:szCs w:val="26"/>
                <w:lang w:val="uk-UA"/>
              </w:rPr>
              <w:t>Створення індустріального парку допоможе вирішити питання безробіття, покращить інвестиційний клімат як в районі, так і в області, підвищить рівень життя населення, зменшить відплив висококваліфікованих кадрів за кордон, сприятиме поверненню трудових мігрантів</w:t>
            </w:r>
          </w:p>
          <w:p w:rsidR="004C41C0" w:rsidRPr="005B5FB1" w:rsidRDefault="004C41C0" w:rsidP="003B7F5F">
            <w:pPr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  <w:tr w:rsidR="003B7F5F" w:rsidRPr="00367341" w:rsidTr="00764C9D">
        <w:tc>
          <w:tcPr>
            <w:tcW w:w="3970" w:type="dxa"/>
            <w:shd w:val="clear" w:color="auto" w:fill="FFFFFF"/>
          </w:tcPr>
          <w:p w:rsidR="003B7F5F" w:rsidRPr="00076329" w:rsidRDefault="003B7F5F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lastRenderedPageBreak/>
              <w:t xml:space="preserve">7. Очікувані кількісні та якісні результати від реалізації проекту, інновації проекту </w:t>
            </w:r>
          </w:p>
          <w:p w:rsidR="003B7F5F" w:rsidRPr="00076329" w:rsidRDefault="003B7F5F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shd w:val="clear" w:color="auto" w:fill="FFFFFF"/>
          </w:tcPr>
          <w:p w:rsidR="003B7F5F" w:rsidRPr="00764C9D" w:rsidRDefault="00764C9D" w:rsidP="00BA245F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1. С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твор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ити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 нов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і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 виробнич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і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 потужност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і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 на основі інноваційних технологій з високим рівнем конкурентоспроможності;</w:t>
            </w:r>
          </w:p>
          <w:p w:rsidR="003B7F5F" w:rsidRPr="00764C9D" w:rsidRDefault="00764C9D" w:rsidP="00BA245F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2. С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прияти умов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ам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 для розвитку малого, середнього та великого підприємництва; </w:t>
            </w:r>
          </w:p>
          <w:p w:rsidR="003B7F5F" w:rsidRPr="00764C9D" w:rsidRDefault="00764C9D" w:rsidP="00BA245F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3. С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твор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ити 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нов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і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 робоч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і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 місц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>я</w:t>
            </w:r>
            <w:r w:rsidR="003B7F5F" w:rsidRPr="00764C9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uk-UA"/>
              </w:rPr>
              <w:t xml:space="preserve">; </w:t>
            </w:r>
          </w:p>
          <w:p w:rsidR="003B7F5F" w:rsidRPr="00764C9D" w:rsidRDefault="00764C9D" w:rsidP="00BA245F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4. </w:t>
            </w:r>
            <w:r w:rsidRPr="00764C9D">
              <w:rPr>
                <w:bCs/>
                <w:color w:val="auto"/>
                <w:sz w:val="26"/>
                <w:szCs w:val="26"/>
              </w:rPr>
              <w:t>Насичення ринку новою вітчизняною конкурентоспроможною продукцією</w:t>
            </w:r>
            <w:r w:rsidR="003B7F5F" w:rsidRPr="00764C9D">
              <w:rPr>
                <w:bCs/>
                <w:color w:val="auto"/>
                <w:sz w:val="26"/>
                <w:szCs w:val="26"/>
              </w:rPr>
              <w:t>;</w:t>
            </w:r>
          </w:p>
          <w:p w:rsidR="003B7F5F" w:rsidRDefault="00764C9D" w:rsidP="00764C9D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5. З</w:t>
            </w:r>
            <w:r w:rsidR="003B7F5F" w:rsidRPr="00764C9D">
              <w:rPr>
                <w:bCs/>
                <w:color w:val="auto"/>
                <w:sz w:val="26"/>
                <w:szCs w:val="26"/>
              </w:rPr>
              <w:t>більш</w:t>
            </w:r>
            <w:r>
              <w:rPr>
                <w:bCs/>
                <w:color w:val="auto"/>
                <w:sz w:val="26"/>
                <w:szCs w:val="26"/>
              </w:rPr>
              <w:t>ити надходження</w:t>
            </w:r>
            <w:r w:rsidR="003B7F5F" w:rsidRPr="00764C9D">
              <w:rPr>
                <w:bCs/>
                <w:color w:val="auto"/>
                <w:sz w:val="26"/>
                <w:szCs w:val="26"/>
              </w:rPr>
              <w:t xml:space="preserve"> до бюджетів усіх рівнів (зокрема, за рахунок податку з доходів фізичних осіб (більше 66,1 млн.</w:t>
            </w: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 w:rsidR="003B7F5F" w:rsidRPr="00764C9D">
              <w:rPr>
                <w:bCs/>
                <w:color w:val="auto"/>
                <w:sz w:val="26"/>
                <w:szCs w:val="26"/>
              </w:rPr>
              <w:t>грн. в рік по одному ІП), податку на додану вартість, податку на прибуток підприємств, єдиного соціального внеску).</w:t>
            </w:r>
          </w:p>
          <w:p w:rsidR="00764C9D" w:rsidRPr="00367341" w:rsidRDefault="00764C9D" w:rsidP="00764C9D">
            <w:pPr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6. </w:t>
            </w:r>
            <w:r w:rsidRPr="00764C9D">
              <w:rPr>
                <w:bCs/>
                <w:color w:val="auto"/>
                <w:sz w:val="26"/>
                <w:szCs w:val="26"/>
              </w:rPr>
              <w:t>Сприяти розвитку малого і середнього, переважно інноваційного, бізнесу.</w:t>
            </w:r>
          </w:p>
        </w:tc>
      </w:tr>
      <w:tr w:rsidR="003B7F5F" w:rsidRPr="00367341" w:rsidTr="00764C9D">
        <w:tc>
          <w:tcPr>
            <w:tcW w:w="3970" w:type="dxa"/>
            <w:shd w:val="clear" w:color="auto" w:fill="FFFFFF"/>
          </w:tcPr>
          <w:p w:rsidR="003B7F5F" w:rsidRPr="00076329" w:rsidRDefault="003B7F5F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8. Основні заходи проекту</w:t>
            </w:r>
          </w:p>
          <w:p w:rsidR="003B7F5F" w:rsidRPr="00076329" w:rsidRDefault="003B7F5F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5"/>
          </w:tcPr>
          <w:p w:rsidR="003B7F5F" w:rsidRPr="00AF402A" w:rsidRDefault="003B7F5F" w:rsidP="003B7F5F">
            <w:pPr>
              <w:tabs>
                <w:tab w:val="left" w:pos="254"/>
              </w:tabs>
              <w:ind w:left="14"/>
              <w:jc w:val="both"/>
              <w:rPr>
                <w:sz w:val="21"/>
                <w:szCs w:val="21"/>
                <w:lang w:eastAsia="it-IT"/>
              </w:rPr>
            </w:pPr>
            <w:r>
              <w:rPr>
                <w:bCs/>
                <w:color w:val="auto"/>
                <w:sz w:val="26"/>
                <w:szCs w:val="26"/>
              </w:rPr>
              <w:t>П</w:t>
            </w:r>
            <w:r w:rsidRPr="003B7F5F">
              <w:rPr>
                <w:bCs/>
                <w:color w:val="auto"/>
                <w:sz w:val="26"/>
                <w:szCs w:val="26"/>
              </w:rPr>
              <w:t>роведення будівельних робіт, будівництво інженерно-технічної інфраструктури, облаштування території ІП згідно з розробленою будівельно-кошторисною документацією</w:t>
            </w:r>
          </w:p>
        </w:tc>
      </w:tr>
      <w:tr w:rsidR="005B4E7A" w:rsidRPr="00367341" w:rsidTr="00764C9D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9. Період реалізації проекту (з (місяць / рік) - до (місяць / рік)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5B4E7A" w:rsidRPr="005E0EEE" w:rsidRDefault="005B4E7A" w:rsidP="003B7F5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з</w:t>
            </w:r>
            <w:r w:rsidR="00E83519"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січня 2017 по грудень 201</w:t>
            </w:r>
            <w:r w:rsidR="003B7F5F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9</w:t>
            </w:r>
            <w:r w:rsidRPr="005E0E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року</w:t>
            </w:r>
          </w:p>
        </w:tc>
      </w:tr>
      <w:tr w:rsidR="00406412" w:rsidRPr="00D17EE7" w:rsidTr="00764C9D">
        <w:tc>
          <w:tcPr>
            <w:tcW w:w="3970" w:type="dxa"/>
            <w:vMerge w:val="restart"/>
            <w:shd w:val="clear" w:color="auto" w:fill="FFFFFF"/>
          </w:tcPr>
          <w:p w:rsidR="00406412" w:rsidRPr="00D17EE7" w:rsidRDefault="00406412" w:rsidP="005B4E7A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10. Обсяг фінансування проекту, тис. грн. </w:t>
            </w:r>
          </w:p>
        </w:tc>
        <w:tc>
          <w:tcPr>
            <w:tcW w:w="992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2018</w:t>
            </w:r>
          </w:p>
        </w:tc>
        <w:tc>
          <w:tcPr>
            <w:tcW w:w="1124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2020</w:t>
            </w:r>
          </w:p>
        </w:tc>
        <w:tc>
          <w:tcPr>
            <w:tcW w:w="1569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Разом</w:t>
            </w:r>
          </w:p>
        </w:tc>
      </w:tr>
      <w:tr w:rsidR="003B7F5F" w:rsidRPr="00D17EE7" w:rsidTr="00764C9D">
        <w:tc>
          <w:tcPr>
            <w:tcW w:w="3970" w:type="dxa"/>
            <w:vMerge/>
            <w:shd w:val="clear" w:color="auto" w:fill="FFFFFF"/>
          </w:tcPr>
          <w:p w:rsidR="003B7F5F" w:rsidRPr="00D17EE7" w:rsidRDefault="003B7F5F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B7F5F" w:rsidRPr="00764C9D" w:rsidRDefault="003B7F5F" w:rsidP="003B7F5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4C9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8966,6</w:t>
            </w:r>
          </w:p>
        </w:tc>
        <w:tc>
          <w:tcPr>
            <w:tcW w:w="1134" w:type="dxa"/>
            <w:shd w:val="clear" w:color="auto" w:fill="FFFFFF"/>
          </w:tcPr>
          <w:p w:rsidR="003B7F5F" w:rsidRPr="00764C9D" w:rsidRDefault="003B7F5F" w:rsidP="00BA245F">
            <w:pPr>
              <w:jc w:val="center"/>
              <w:rPr>
                <w:sz w:val="22"/>
                <w:szCs w:val="22"/>
                <w:lang w:eastAsia="it-IT"/>
              </w:rPr>
            </w:pPr>
            <w:r w:rsidRPr="00764C9D">
              <w:rPr>
                <w:sz w:val="22"/>
                <w:szCs w:val="22"/>
                <w:lang w:eastAsia="it-IT"/>
              </w:rPr>
              <w:t>449 836,9</w:t>
            </w:r>
          </w:p>
        </w:tc>
        <w:tc>
          <w:tcPr>
            <w:tcW w:w="1124" w:type="dxa"/>
            <w:shd w:val="clear" w:color="auto" w:fill="FFFFFF"/>
          </w:tcPr>
          <w:p w:rsidR="003B7F5F" w:rsidRPr="00764C9D" w:rsidRDefault="003B7F5F" w:rsidP="00BA245F">
            <w:pPr>
              <w:jc w:val="center"/>
              <w:rPr>
                <w:sz w:val="22"/>
                <w:szCs w:val="22"/>
                <w:lang w:eastAsia="it-IT"/>
              </w:rPr>
            </w:pPr>
            <w:r w:rsidRPr="00764C9D">
              <w:rPr>
                <w:sz w:val="22"/>
                <w:szCs w:val="22"/>
                <w:lang w:eastAsia="it-IT"/>
              </w:rPr>
              <w:t>406 316,5</w:t>
            </w:r>
          </w:p>
        </w:tc>
        <w:tc>
          <w:tcPr>
            <w:tcW w:w="1418" w:type="dxa"/>
            <w:shd w:val="clear" w:color="auto" w:fill="FFFFFF"/>
          </w:tcPr>
          <w:p w:rsidR="003B7F5F" w:rsidRPr="00764C9D" w:rsidRDefault="003B7F5F" w:rsidP="00DB576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9" w:type="dxa"/>
            <w:shd w:val="clear" w:color="auto" w:fill="FFFFFF"/>
          </w:tcPr>
          <w:p w:rsidR="003B7F5F" w:rsidRPr="00764C9D" w:rsidRDefault="003B7F5F" w:rsidP="00DB5765">
            <w:pPr>
              <w:pStyle w:val="a4"/>
              <w:jc w:val="center"/>
              <w:rPr>
                <w:rFonts w:hint="eastAsia"/>
                <w:sz w:val="22"/>
                <w:szCs w:val="22"/>
                <w:highlight w:val="yellow"/>
                <w:lang w:val="uk-UA"/>
              </w:rPr>
            </w:pPr>
            <w:r w:rsidRPr="00764C9D">
              <w:rPr>
                <w:rFonts w:ascii="Times New Roman" w:hAnsi="Times New Roman"/>
                <w:sz w:val="22"/>
                <w:szCs w:val="22"/>
                <w:lang w:val="uk-UA" w:eastAsia="it-IT"/>
              </w:rPr>
              <w:t>865 120,0</w:t>
            </w:r>
          </w:p>
        </w:tc>
      </w:tr>
      <w:tr w:rsidR="00406412" w:rsidRPr="00D17EE7" w:rsidTr="00764C9D">
        <w:tc>
          <w:tcPr>
            <w:tcW w:w="3970" w:type="dxa"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11. Джерела фінансування проекту </w:t>
            </w:r>
          </w:p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 w:rsidR="00406412" w:rsidRPr="005E0EEE" w:rsidRDefault="00406412" w:rsidP="00726CB7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5E0EEE">
              <w:rPr>
                <w:bCs/>
                <w:color w:val="auto"/>
                <w:sz w:val="26"/>
                <w:szCs w:val="26"/>
              </w:rPr>
              <w:t>Державний фонд регіонального розвитку, обласний бюджет</w:t>
            </w:r>
            <w:r w:rsidR="00AF447C" w:rsidRPr="005E0EEE">
              <w:rPr>
                <w:bCs/>
                <w:color w:val="auto"/>
                <w:sz w:val="26"/>
                <w:szCs w:val="26"/>
              </w:rPr>
              <w:t>, місцевий бюджет</w:t>
            </w:r>
          </w:p>
        </w:tc>
      </w:tr>
      <w:tr w:rsidR="00406412" w:rsidRPr="00D17EE7" w:rsidTr="00764C9D">
        <w:tc>
          <w:tcPr>
            <w:tcW w:w="3970" w:type="dxa"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7EE7">
              <w:rPr>
                <w:sz w:val="26"/>
                <w:szCs w:val="26"/>
              </w:rPr>
              <w:t xml:space="preserve">12. Учасники реалізації проекту та їх функції </w:t>
            </w:r>
          </w:p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5"/>
          </w:tcPr>
          <w:p w:rsidR="00406412" w:rsidRPr="005E0EEE" w:rsidRDefault="006E5FD3" w:rsidP="003B7F5F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5E0EEE">
              <w:rPr>
                <w:bCs/>
                <w:color w:val="auto"/>
                <w:sz w:val="26"/>
                <w:szCs w:val="26"/>
              </w:rPr>
              <w:t xml:space="preserve">Виконавчі комітети, райдержадміністрації, </w:t>
            </w:r>
            <w:r w:rsidR="00E83519" w:rsidRPr="005E0EEE">
              <w:rPr>
                <w:bCs/>
                <w:color w:val="auto"/>
                <w:sz w:val="26"/>
                <w:szCs w:val="26"/>
              </w:rPr>
              <w:t xml:space="preserve">об’єднані територіальні громади, </w:t>
            </w:r>
            <w:r w:rsidR="003B7F5F">
              <w:rPr>
                <w:bCs/>
                <w:color w:val="auto"/>
                <w:sz w:val="26"/>
                <w:szCs w:val="26"/>
              </w:rPr>
              <w:t>департамент базових галузей облдержадміністрації</w:t>
            </w:r>
          </w:p>
        </w:tc>
      </w:tr>
      <w:tr w:rsidR="00406412" w:rsidRPr="00367341" w:rsidTr="00764C9D">
        <w:tc>
          <w:tcPr>
            <w:tcW w:w="3970" w:type="dxa"/>
            <w:shd w:val="clear" w:color="auto" w:fill="FFFFFF"/>
          </w:tcPr>
          <w:p w:rsidR="00406412" w:rsidRPr="00076329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13. Інша інфо</w:t>
            </w:r>
            <w:r>
              <w:rPr>
                <w:bCs/>
                <w:sz w:val="26"/>
                <w:szCs w:val="26"/>
              </w:rPr>
              <w:t xml:space="preserve">рмація щодо проекту </w:t>
            </w:r>
          </w:p>
        </w:tc>
        <w:tc>
          <w:tcPr>
            <w:tcW w:w="6237" w:type="dxa"/>
            <w:gridSpan w:val="5"/>
          </w:tcPr>
          <w:p w:rsidR="00406412" w:rsidRPr="00367341" w:rsidRDefault="00406412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</w:tbl>
    <w:p w:rsidR="00122378" w:rsidRDefault="00122378" w:rsidP="00122378">
      <w:pPr>
        <w:ind w:right="-1"/>
        <w:jc w:val="both"/>
        <w:rPr>
          <w:rFonts w:eastAsia="Calibri"/>
          <w:color w:val="auto"/>
        </w:rPr>
      </w:pPr>
    </w:p>
    <w:p w:rsidR="00122378" w:rsidRPr="00831048" w:rsidRDefault="00122378" w:rsidP="00547E8D">
      <w:pPr>
        <w:ind w:right="-1"/>
        <w:jc w:val="both"/>
        <w:rPr>
          <w:rFonts w:eastAsia="Calibri"/>
          <w:color w:val="auto"/>
        </w:rPr>
      </w:pPr>
    </w:p>
    <w:p w:rsidR="00122378" w:rsidRDefault="00122378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sectPr w:rsidR="007B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6E0"/>
    <w:multiLevelType w:val="hybridMultilevel"/>
    <w:tmpl w:val="64B00D54"/>
    <w:lvl w:ilvl="0" w:tplc="53705A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2FF3"/>
    <w:multiLevelType w:val="hybridMultilevel"/>
    <w:tmpl w:val="57189C6A"/>
    <w:lvl w:ilvl="0" w:tplc="23724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8686B"/>
    <w:multiLevelType w:val="hybridMultilevel"/>
    <w:tmpl w:val="E60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7CF7"/>
    <w:multiLevelType w:val="hybridMultilevel"/>
    <w:tmpl w:val="CCC2C258"/>
    <w:lvl w:ilvl="0" w:tplc="A9C8C6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F4D59"/>
    <w:multiLevelType w:val="hybridMultilevel"/>
    <w:tmpl w:val="17E899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E4BEF"/>
    <w:multiLevelType w:val="hybridMultilevel"/>
    <w:tmpl w:val="71C04602"/>
    <w:lvl w:ilvl="0" w:tplc="28E094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4"/>
    <w:rsid w:val="00012B47"/>
    <w:rsid w:val="001157BD"/>
    <w:rsid w:val="00116AB7"/>
    <w:rsid w:val="00122378"/>
    <w:rsid w:val="00136584"/>
    <w:rsid w:val="002474A8"/>
    <w:rsid w:val="0028056C"/>
    <w:rsid w:val="00300D4C"/>
    <w:rsid w:val="00315ECA"/>
    <w:rsid w:val="00346996"/>
    <w:rsid w:val="003575BA"/>
    <w:rsid w:val="003B7F5F"/>
    <w:rsid w:val="00406412"/>
    <w:rsid w:val="00426E6B"/>
    <w:rsid w:val="00475577"/>
    <w:rsid w:val="004B5922"/>
    <w:rsid w:val="004C41C0"/>
    <w:rsid w:val="004C62FD"/>
    <w:rsid w:val="005039B4"/>
    <w:rsid w:val="00510AFA"/>
    <w:rsid w:val="00515AF5"/>
    <w:rsid w:val="0052660D"/>
    <w:rsid w:val="0054230E"/>
    <w:rsid w:val="00547E8D"/>
    <w:rsid w:val="00557E7E"/>
    <w:rsid w:val="005B4E7A"/>
    <w:rsid w:val="005B5FB1"/>
    <w:rsid w:val="005E0EEE"/>
    <w:rsid w:val="0060431A"/>
    <w:rsid w:val="00681E36"/>
    <w:rsid w:val="006A3510"/>
    <w:rsid w:val="006B79DB"/>
    <w:rsid w:val="006C5F93"/>
    <w:rsid w:val="006E5FD3"/>
    <w:rsid w:val="006E70A2"/>
    <w:rsid w:val="00700374"/>
    <w:rsid w:val="007244F2"/>
    <w:rsid w:val="00764C9D"/>
    <w:rsid w:val="007A7974"/>
    <w:rsid w:val="007B0838"/>
    <w:rsid w:val="007B4A7D"/>
    <w:rsid w:val="00880C4E"/>
    <w:rsid w:val="008973A4"/>
    <w:rsid w:val="008C5365"/>
    <w:rsid w:val="00916E3B"/>
    <w:rsid w:val="009A684C"/>
    <w:rsid w:val="009F3B43"/>
    <w:rsid w:val="00A367CC"/>
    <w:rsid w:val="00A61E05"/>
    <w:rsid w:val="00AD1419"/>
    <w:rsid w:val="00AF321A"/>
    <w:rsid w:val="00AF447C"/>
    <w:rsid w:val="00B217E8"/>
    <w:rsid w:val="00B627EE"/>
    <w:rsid w:val="00BB2B9D"/>
    <w:rsid w:val="00D14D3D"/>
    <w:rsid w:val="00D17EE7"/>
    <w:rsid w:val="00D305ED"/>
    <w:rsid w:val="00E04C38"/>
    <w:rsid w:val="00E2016E"/>
    <w:rsid w:val="00E22D75"/>
    <w:rsid w:val="00E71942"/>
    <w:rsid w:val="00E83519"/>
    <w:rsid w:val="00EA37E6"/>
    <w:rsid w:val="00EF351D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  <w:style w:type="paragraph" w:customStyle="1" w:styleId="Default">
    <w:name w:val="Default"/>
    <w:uiPriority w:val="99"/>
    <w:rsid w:val="003B7F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7F5F"/>
    <w:pPr>
      <w:spacing w:before="100" w:beforeAutospacing="1" w:after="100" w:afterAutospacing="1"/>
    </w:pPr>
    <w:rPr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  <w:style w:type="paragraph" w:customStyle="1" w:styleId="Default">
    <w:name w:val="Default"/>
    <w:uiPriority w:val="99"/>
    <w:rsid w:val="003B7F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7F5F"/>
    <w:pPr>
      <w:spacing w:before="100" w:beforeAutospacing="1" w:after="100" w:afterAutospacing="1"/>
    </w:pPr>
    <w:rPr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2BE4-04F5-4F5B-A610-1B19D304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Роман Борисович</dc:creator>
  <cp:lastModifiedBy>Admin</cp:lastModifiedBy>
  <cp:revision>19</cp:revision>
  <cp:lastPrinted>2016-04-22T08:13:00Z</cp:lastPrinted>
  <dcterms:created xsi:type="dcterms:W3CDTF">2016-04-19T15:54:00Z</dcterms:created>
  <dcterms:modified xsi:type="dcterms:W3CDTF">2016-12-21T14:58:00Z</dcterms:modified>
</cp:coreProperties>
</file>