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78" w:rsidRPr="00BF43DD" w:rsidRDefault="00122378" w:rsidP="00122378">
      <w:pPr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Форма т</w:t>
      </w:r>
      <w:r w:rsidRPr="00BF43DD">
        <w:rPr>
          <w:rFonts w:eastAsia="Calibri"/>
          <w:b/>
          <w:color w:val="auto"/>
          <w:sz w:val="28"/>
          <w:szCs w:val="28"/>
        </w:rPr>
        <w:t>ехнічн</w:t>
      </w:r>
      <w:r>
        <w:rPr>
          <w:rFonts w:eastAsia="Calibri"/>
          <w:b/>
          <w:color w:val="auto"/>
          <w:sz w:val="28"/>
          <w:szCs w:val="28"/>
        </w:rPr>
        <w:t>ого</w:t>
      </w:r>
      <w:r w:rsidRPr="00BF43DD">
        <w:rPr>
          <w:rFonts w:eastAsia="Calibri"/>
          <w:b/>
          <w:color w:val="auto"/>
          <w:sz w:val="28"/>
          <w:szCs w:val="28"/>
        </w:rPr>
        <w:t xml:space="preserve"> завдання на інвестиційну програму</w:t>
      </w:r>
      <w:r>
        <w:rPr>
          <w:rFonts w:eastAsia="Calibri"/>
          <w:b/>
          <w:color w:val="auto"/>
          <w:sz w:val="28"/>
          <w:szCs w:val="28"/>
        </w:rPr>
        <w:t xml:space="preserve"> і</w:t>
      </w:r>
      <w:r w:rsidRPr="00BF43DD">
        <w:rPr>
          <w:rFonts w:eastAsia="Calibri"/>
          <w:b/>
          <w:color w:val="auto"/>
          <w:sz w:val="28"/>
          <w:szCs w:val="28"/>
        </w:rPr>
        <w:t xml:space="preserve"> проект регіонального розвитку, що </w:t>
      </w:r>
      <w:r>
        <w:rPr>
          <w:rFonts w:eastAsia="Calibri"/>
          <w:b/>
          <w:color w:val="auto"/>
          <w:sz w:val="28"/>
          <w:szCs w:val="28"/>
        </w:rPr>
        <w:t xml:space="preserve">може реалізовуватися </w:t>
      </w:r>
      <w:r w:rsidRPr="00BF43DD">
        <w:rPr>
          <w:rFonts w:eastAsia="Calibri"/>
          <w:b/>
          <w:color w:val="auto"/>
          <w:sz w:val="28"/>
          <w:szCs w:val="28"/>
        </w:rPr>
        <w:t xml:space="preserve">за рахунок коштів </w:t>
      </w:r>
      <w:r>
        <w:rPr>
          <w:rFonts w:eastAsia="Calibri"/>
          <w:b/>
          <w:color w:val="auto"/>
          <w:sz w:val="28"/>
          <w:szCs w:val="28"/>
        </w:rPr>
        <w:t>д</w:t>
      </w:r>
      <w:r w:rsidRPr="00BF43DD">
        <w:rPr>
          <w:rFonts w:eastAsia="Calibri"/>
          <w:b/>
          <w:color w:val="auto"/>
          <w:sz w:val="28"/>
          <w:szCs w:val="28"/>
        </w:rPr>
        <w:t>ержавного фонду регіонального розвитку</w:t>
      </w:r>
    </w:p>
    <w:p w:rsidR="00122378" w:rsidRDefault="00122378" w:rsidP="00122378">
      <w:pPr>
        <w:ind w:firstLine="851"/>
        <w:jc w:val="center"/>
        <w:rPr>
          <w:rFonts w:eastAsia="Calibri"/>
          <w:bCs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18"/>
        <w:gridCol w:w="1417"/>
        <w:gridCol w:w="1124"/>
        <w:gridCol w:w="861"/>
        <w:gridCol w:w="1275"/>
      </w:tblGrid>
      <w:tr w:rsidR="00122378" w:rsidRPr="00367341" w:rsidTr="0019099F">
        <w:tc>
          <w:tcPr>
            <w:tcW w:w="3970" w:type="dxa"/>
            <w:shd w:val="clear" w:color="auto" w:fill="auto"/>
          </w:tcPr>
          <w:p w:rsidR="00122378" w:rsidRPr="00076329" w:rsidRDefault="00122378" w:rsidP="00726CB7">
            <w:pPr>
              <w:spacing w:before="40" w:after="40"/>
              <w:jc w:val="both"/>
              <w:rPr>
                <w:rFonts w:eastAsia="Calibri"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1. Назва </w:t>
            </w:r>
            <w:r w:rsidRPr="00076329">
              <w:rPr>
                <w:sz w:val="26"/>
                <w:szCs w:val="26"/>
              </w:rPr>
              <w:t>програми і проекту</w:t>
            </w:r>
            <w:r w:rsidRPr="00076329">
              <w:rPr>
                <w:rFonts w:eastAsia="Calibri"/>
                <w:sz w:val="26"/>
                <w:szCs w:val="26"/>
              </w:rPr>
              <w:t xml:space="preserve"> </w:t>
            </w:r>
            <w:r w:rsidRPr="00076329">
              <w:rPr>
                <w:rFonts w:eastAsia="Calibri"/>
                <w:color w:val="auto"/>
                <w:sz w:val="26"/>
                <w:szCs w:val="26"/>
              </w:rPr>
              <w:t>регіонального розвитку, що може реалізовуватися за рахунок коштів державного фонду регіонального розвитку</w:t>
            </w:r>
            <w:r w:rsidRPr="00076329">
              <w:rPr>
                <w:rFonts w:eastAsia="Calibri"/>
                <w:sz w:val="26"/>
                <w:szCs w:val="26"/>
              </w:rPr>
              <w:t xml:space="preserve"> (далі – проект)</w:t>
            </w:r>
          </w:p>
          <w:p w:rsidR="00122378" w:rsidRPr="00076329" w:rsidRDefault="00122378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122378" w:rsidRPr="009834BD" w:rsidRDefault="00C438C4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val="ru-RU"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Проведення заходів з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термомодерн</w:t>
            </w:r>
            <w:r w:rsidR="009834BD">
              <w:rPr>
                <w:rFonts w:eastAsia="Calibri"/>
                <w:color w:val="auto"/>
                <w:sz w:val="26"/>
                <w:szCs w:val="26"/>
              </w:rPr>
              <w:t>ізації</w:t>
            </w:r>
            <w:proofErr w:type="spellEnd"/>
            <w:r w:rsidR="009834BD">
              <w:rPr>
                <w:rFonts w:eastAsia="Calibri"/>
                <w:color w:val="auto"/>
                <w:sz w:val="26"/>
                <w:szCs w:val="26"/>
              </w:rPr>
              <w:t xml:space="preserve"> будівель бюджетної сфери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2. Номер і назва завдання з Державної стратегії регіонального розвитку та відповідної стратегії розвитку регіону, якому відповідає проект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122378" w:rsidRPr="00B217E8" w:rsidRDefault="00C438C4" w:rsidP="00B217E8">
            <w:pPr>
              <w:pBdr>
                <w:left w:val="single" w:sz="18" w:space="4" w:color="auto"/>
              </w:pBd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>
              <w:rPr>
                <w:lang w:eastAsia="it-IT"/>
              </w:rPr>
              <w:t>1</w:t>
            </w:r>
            <w:r w:rsidRPr="003B2663">
              <w:rPr>
                <w:lang w:eastAsia="it-IT"/>
              </w:rPr>
              <w:t xml:space="preserve">.3.2.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Проводити </w:t>
            </w:r>
            <w:proofErr w:type="spellStart"/>
            <w:r w:rsidRPr="009834BD">
              <w:rPr>
                <w:rFonts w:eastAsia="Calibri"/>
                <w:color w:val="auto"/>
                <w:sz w:val="26"/>
                <w:szCs w:val="26"/>
              </w:rPr>
              <w:t>енергоаудит</w:t>
            </w:r>
            <w:proofErr w:type="spellEnd"/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 та заходи зі зменшення енерговитрат у адміністративних будівлях та об’єктах соціальної інфраструктури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pStyle w:val="6"/>
              <w:spacing w:before="40" w:after="40"/>
              <w:jc w:val="both"/>
              <w:rPr>
                <w:b w:val="0"/>
                <w:sz w:val="26"/>
                <w:szCs w:val="26"/>
                <w:lang w:val="uk-UA"/>
              </w:rPr>
            </w:pPr>
            <w:r w:rsidRPr="00076329">
              <w:rPr>
                <w:b w:val="0"/>
                <w:sz w:val="26"/>
                <w:szCs w:val="26"/>
                <w:lang w:val="uk-UA"/>
              </w:rPr>
              <w:t xml:space="preserve">3. Мета та завдання проекту </w:t>
            </w:r>
          </w:p>
          <w:p w:rsidR="00122378" w:rsidRPr="00076329" w:rsidRDefault="00122378" w:rsidP="00726C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AD1419" w:rsidRPr="009834BD" w:rsidRDefault="009834BD" w:rsidP="009834BD">
            <w:pPr>
              <w:spacing w:before="40" w:after="40"/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  <w:r w:rsidRPr="009834BD">
              <w:rPr>
                <w:rFonts w:eastAsia="Calibri"/>
                <w:color w:val="auto"/>
                <w:sz w:val="26"/>
                <w:szCs w:val="26"/>
              </w:rPr>
              <w:t>Скорочення споживання паливно-енергетичних ресурсів у бюджетній сфері за рахунок впровадження</w:t>
            </w:r>
            <w:r w:rsidRPr="009834BD">
              <w:rPr>
                <w:color w:val="auto"/>
              </w:rPr>
              <w:t xml:space="preserve"> </w:t>
            </w:r>
            <w:r w:rsidRPr="009834BD">
              <w:rPr>
                <w:rFonts w:eastAsia="Calibri"/>
                <w:color w:val="auto"/>
                <w:sz w:val="26"/>
                <w:szCs w:val="26"/>
              </w:rPr>
              <w:t xml:space="preserve">комплексних </w:t>
            </w:r>
            <w:r w:rsidR="0019099F">
              <w:rPr>
                <w:rFonts w:eastAsia="Calibri"/>
                <w:color w:val="auto"/>
                <w:sz w:val="26"/>
                <w:szCs w:val="26"/>
              </w:rPr>
              <w:t>енергозберігаючих заходів</w:t>
            </w:r>
          </w:p>
        </w:tc>
      </w:tr>
      <w:tr w:rsidR="00122378" w:rsidRPr="00367341" w:rsidTr="0019099F">
        <w:tc>
          <w:tcPr>
            <w:tcW w:w="3970" w:type="dxa"/>
          </w:tcPr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4. Територія, на яку проект матиме вплив</w:t>
            </w:r>
          </w:p>
          <w:p w:rsidR="00122378" w:rsidRPr="00076329" w:rsidRDefault="00122378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19099F" w:rsidRDefault="00C438C4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міста: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Авдіївка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Бахмут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Добропілля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Дружківка, Лиман, Маріуполь, 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Мирноград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Селидове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Слов’янськ,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Торецьк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; </w:t>
            </w:r>
          </w:p>
          <w:p w:rsidR="00C438C4" w:rsidRPr="0019099F" w:rsidRDefault="00C438C4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райони: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Великоновосілківський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Волноваський,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Добропільський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Костянтинівський,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Мар’їнський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Нікольський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Олександрівський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, Першотравневий, Покровський, Слов’янський,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Ясинуватський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. Медичні училища (міста: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Бахмут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>, Костянтинівка).</w:t>
            </w:r>
          </w:p>
          <w:p w:rsidR="00AD1419" w:rsidRDefault="00C438C4" w:rsidP="00C438C4">
            <w:pPr>
              <w:spacing w:before="40" w:after="40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Заклади соціального захисту населення (обласног</w:t>
            </w:r>
            <w:r w:rsidR="001B5F50">
              <w:rPr>
                <w:rFonts w:eastAsia="Calibri"/>
                <w:color w:val="auto"/>
                <w:sz w:val="26"/>
                <w:szCs w:val="26"/>
              </w:rPr>
              <w:t>о та місцевого підпорядкування)</w:t>
            </w:r>
          </w:p>
          <w:p w:rsidR="001B5F50" w:rsidRPr="005B4E7A" w:rsidRDefault="001B5F50" w:rsidP="00C438C4">
            <w:pPr>
              <w:spacing w:before="40" w:after="40"/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Новостворені 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об’єднані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</w:tcPr>
          <w:p w:rsidR="00C438C4" w:rsidRPr="00076329" w:rsidRDefault="00C438C4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 xml:space="preserve">5. Кількість населення, на яке поширюватиметься проект </w:t>
            </w:r>
          </w:p>
          <w:p w:rsidR="00C438C4" w:rsidRPr="00076329" w:rsidRDefault="00C438C4" w:rsidP="00726CB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791CEB" w:rsidRDefault="00C438C4" w:rsidP="00DB5765">
            <w:pPr>
              <w:jc w:val="both"/>
              <w:rPr>
                <w:lang w:eastAsia="it-IT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Близько 1,5 млн. осіб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 xml:space="preserve">6. Опис проблеми, на вирішення якої спрямований проект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19099F" w:rsidRDefault="00C438C4" w:rsidP="0019099F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Термомодернізація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- це комплекс заходів по утепленню будівлі та модернізації інженерних систем з метою їх приведення у відповідність до сучасних вимог з енергоефективності. </w:t>
            </w:r>
          </w:p>
          <w:p w:rsidR="00DE03C2" w:rsidRPr="00A738EC" w:rsidRDefault="00F00E72" w:rsidP="00F00E72">
            <w:pPr>
              <w:jc w:val="both"/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Для більшості установ та закладів бюджетної сфери області характерна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є істотна зношеність будівель та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інженерно – комунікаційних мереж, застарілість  котелень та котельного обладнання. Крім того, протягом тривалого часу було відсутнє достатнє фінансування </w:t>
            </w:r>
            <w:r w:rsidR="0019099F" w:rsidRPr="0019099F">
              <w:rPr>
                <w:rFonts w:eastAsia="Calibri"/>
                <w:color w:val="auto"/>
                <w:sz w:val="26"/>
                <w:szCs w:val="26"/>
              </w:rPr>
              <w:t xml:space="preserve">енергозберігаючих заходів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в закладах бюджетної сфери. Це приводить до </w:t>
            </w:r>
            <w:r w:rsidRPr="0019099F">
              <w:rPr>
                <w:rFonts w:eastAsia="Calibri"/>
                <w:color w:val="auto"/>
                <w:sz w:val="26"/>
                <w:szCs w:val="26"/>
              </w:rPr>
              <w:t>збільшення рівня нераці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ональних втрат теплової енергії, зниження </w:t>
            </w:r>
            <w:r>
              <w:rPr>
                <w:rFonts w:eastAsia="Calibri"/>
                <w:color w:val="auto"/>
                <w:sz w:val="26"/>
                <w:szCs w:val="26"/>
              </w:rPr>
              <w:lastRenderedPageBreak/>
              <w:t>температурного режиму в закладах та установах бюджетної сфери та збільшення обсягів видатків бюджетних коштів за спожиті енергоносії.</w:t>
            </w:r>
          </w:p>
          <w:p w:rsidR="00C438C4" w:rsidRPr="00367341" w:rsidRDefault="00C438C4" w:rsidP="00300D4C">
            <w:pPr>
              <w:jc w:val="both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lastRenderedPageBreak/>
              <w:t xml:space="preserve">7. Очікувані кількісні та якісні результати від реалізації проекту, інновації проекту 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FFFFFF"/>
          </w:tcPr>
          <w:p w:rsidR="0019099F" w:rsidRPr="0019099F" w:rsidRDefault="0019099F" w:rsidP="0019099F">
            <w:pPr>
              <w:spacing w:before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Проведено 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комплексну </w:t>
            </w:r>
            <w:proofErr w:type="spellStart"/>
            <w:r w:rsidRPr="0019099F">
              <w:rPr>
                <w:rFonts w:eastAsia="Calibri"/>
                <w:color w:val="auto"/>
                <w:sz w:val="26"/>
                <w:szCs w:val="26"/>
              </w:rPr>
              <w:t>термомодернізацію</w:t>
            </w:r>
            <w:proofErr w:type="spellEnd"/>
            <w:r w:rsidRPr="0019099F">
              <w:rPr>
                <w:rFonts w:eastAsia="Calibri"/>
                <w:color w:val="auto"/>
                <w:sz w:val="26"/>
                <w:szCs w:val="26"/>
              </w:rPr>
              <w:t xml:space="preserve"> будівель: </w:t>
            </w:r>
          </w:p>
          <w:p w:rsidR="0019099F" w:rsidRPr="0019099F" w:rsidRDefault="0019099F" w:rsidP="0019099F">
            <w:pPr>
              <w:pStyle w:val="a3"/>
              <w:numPr>
                <w:ilvl w:val="0"/>
                <w:numId w:val="3"/>
              </w:numPr>
              <w:spacing w:before="4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94 загальноосвітніх шкіл;</w:t>
            </w:r>
          </w:p>
          <w:p w:rsidR="0019099F" w:rsidRPr="0019099F" w:rsidRDefault="0019099F" w:rsidP="0019099F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4 дитячо-юнацьких комплексів;</w:t>
            </w:r>
          </w:p>
          <w:p w:rsidR="0019099F" w:rsidRPr="0019099F" w:rsidRDefault="0019099F" w:rsidP="0019099F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9099F">
              <w:rPr>
                <w:rFonts w:eastAsia="Calibri"/>
                <w:color w:val="auto"/>
                <w:sz w:val="26"/>
                <w:szCs w:val="26"/>
              </w:rPr>
              <w:t>78 дошкільних навчальних закладів;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38 лікарень та фельдшерсько-акушерських пунктів;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13 будинків культури;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5 будинків-інтернатів для людей похилого віку;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8 територіальних центрів соціального обслуговування;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7 управлінь соціального захисту населення;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3 музичних училищ;</w:t>
            </w:r>
          </w:p>
          <w:p w:rsidR="0019099F" w:rsidRPr="00F00E72" w:rsidRDefault="0019099F" w:rsidP="00F00E7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00E72">
              <w:rPr>
                <w:rFonts w:eastAsia="Calibri"/>
                <w:color w:val="auto"/>
                <w:sz w:val="26"/>
                <w:szCs w:val="26"/>
              </w:rPr>
              <w:t>2 медичних училищ;</w:t>
            </w:r>
          </w:p>
          <w:p w:rsidR="00C438C4" w:rsidRPr="005B4E7A" w:rsidRDefault="001B5F50" w:rsidP="001B5F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uk-UA" w:eastAsia="ru-RU" w:bidi="ar-SA"/>
              </w:rPr>
              <w:t>1 селищної ради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8. Основні заходи проекту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з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аміна котлів на котли з вищим К</w:t>
            </w:r>
            <w:r>
              <w:rPr>
                <w:rFonts w:eastAsia="Calibri"/>
                <w:color w:val="auto"/>
                <w:sz w:val="26"/>
                <w:szCs w:val="26"/>
              </w:rPr>
              <w:t>К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Д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(не нижче 92%)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D74AD2">
              <w:rPr>
                <w:rFonts w:eastAsia="Calibri"/>
                <w:color w:val="auto"/>
                <w:sz w:val="26"/>
                <w:szCs w:val="26"/>
              </w:rPr>
              <w:t>розміщення в ППУ – ізоляцію теплотрас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D74AD2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м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одернізація системи опалення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з впровадженням приладів обліку</w:t>
            </w:r>
            <w:r w:rsidRPr="00D74AD2">
              <w:rPr>
                <w:rFonts w:eastAsia="Calibri"/>
                <w:color w:val="auto"/>
                <w:sz w:val="26"/>
                <w:szCs w:val="26"/>
              </w:rPr>
              <w:t xml:space="preserve"> (будівництво модульних котелень)</w:t>
            </w:r>
            <w:r>
              <w:rPr>
                <w:rFonts w:eastAsia="Calibri"/>
                <w:color w:val="auto"/>
                <w:sz w:val="26"/>
                <w:szCs w:val="26"/>
              </w:rPr>
              <w:t>,</w:t>
            </w:r>
          </w:p>
          <w:p w:rsidR="00D74AD2" w:rsidRPr="00FE1084" w:rsidRDefault="00D74AD2" w:rsidP="00D74AD2">
            <w:pPr>
              <w:pStyle w:val="a3"/>
              <w:numPr>
                <w:ilvl w:val="0"/>
                <w:numId w:val="3"/>
              </w:numPr>
              <w:jc w:val="both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проведення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термомодернізації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будівель бюджетної сфери  (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утеплення </w:t>
            </w:r>
            <w:r>
              <w:rPr>
                <w:rFonts w:eastAsia="Calibri"/>
                <w:color w:val="auto"/>
                <w:sz w:val="26"/>
                <w:szCs w:val="26"/>
              </w:rPr>
              <w:t>фасадів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 xml:space="preserve"> будівель, реконструкції дахів, заміна вікон,</w:t>
            </w:r>
            <w:r>
              <w:rPr>
                <w:rFonts w:eastAsia="Calibri"/>
                <w:color w:val="auto"/>
                <w:sz w:val="26"/>
                <w:szCs w:val="26"/>
              </w:rPr>
              <w:t xml:space="preserve"> дверей, підлоги</w:t>
            </w:r>
            <w:bookmarkStart w:id="0" w:name="_GoBack"/>
            <w:bookmarkEnd w:id="0"/>
            <w:r w:rsidRPr="00D74AD2">
              <w:rPr>
                <w:rFonts w:eastAsia="Calibri"/>
                <w:color w:val="auto"/>
                <w:sz w:val="26"/>
                <w:szCs w:val="26"/>
              </w:rPr>
              <w:t>)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76329">
              <w:rPr>
                <w:sz w:val="26"/>
                <w:szCs w:val="26"/>
              </w:rPr>
              <w:t>9. Період реалізації проекту (з (місяць / рік) - до (місяць / рік)</w:t>
            </w:r>
          </w:p>
          <w:p w:rsidR="00C438C4" w:rsidRPr="00076329" w:rsidRDefault="00C438C4" w:rsidP="00726CB7">
            <w:pPr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C438C4" w:rsidRPr="00A738EC" w:rsidRDefault="00487E37" w:rsidP="00487E37">
            <w:pPr>
              <w:spacing w:before="40" w:after="40"/>
              <w:rPr>
                <w:lang w:eastAsia="it-IT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 xml:space="preserve">з січня 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201</w:t>
            </w:r>
            <w:r>
              <w:rPr>
                <w:rFonts w:eastAsia="Calibri"/>
                <w:color w:val="auto"/>
                <w:sz w:val="26"/>
                <w:szCs w:val="26"/>
              </w:rPr>
              <w:t>7 року по грудень  2019 року</w:t>
            </w:r>
          </w:p>
        </w:tc>
      </w:tr>
      <w:tr w:rsidR="00C438C4" w:rsidRPr="00D17EE7" w:rsidTr="0019099F">
        <w:tc>
          <w:tcPr>
            <w:tcW w:w="3970" w:type="dxa"/>
            <w:vMerge w:val="restart"/>
            <w:shd w:val="clear" w:color="auto" w:fill="FFFFFF"/>
          </w:tcPr>
          <w:p w:rsidR="00C438C4" w:rsidRPr="00D17EE7" w:rsidRDefault="00C438C4" w:rsidP="005B4E7A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10. Обсяг фінансування проекту, тис. грн. </w:t>
            </w:r>
          </w:p>
        </w:tc>
        <w:tc>
          <w:tcPr>
            <w:tcW w:w="1418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2018</w:t>
            </w:r>
          </w:p>
        </w:tc>
        <w:tc>
          <w:tcPr>
            <w:tcW w:w="1124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2019</w:t>
            </w:r>
          </w:p>
        </w:tc>
        <w:tc>
          <w:tcPr>
            <w:tcW w:w="861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C438C4" w:rsidRPr="00190AA2" w:rsidRDefault="00C438C4" w:rsidP="00DB5765">
            <w:pPr>
              <w:jc w:val="center"/>
              <w:rPr>
                <w:b/>
                <w:lang w:eastAsia="it-IT"/>
              </w:rPr>
            </w:pPr>
            <w:r w:rsidRPr="00190AA2">
              <w:rPr>
                <w:b/>
                <w:lang w:eastAsia="it-IT"/>
              </w:rPr>
              <w:t>Разом</w:t>
            </w:r>
          </w:p>
        </w:tc>
      </w:tr>
      <w:tr w:rsidR="00C438C4" w:rsidRPr="00D17EE7" w:rsidTr="0019099F">
        <w:tc>
          <w:tcPr>
            <w:tcW w:w="3970" w:type="dxa"/>
            <w:vMerge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1 467 327,4</w:t>
            </w:r>
          </w:p>
        </w:tc>
        <w:tc>
          <w:tcPr>
            <w:tcW w:w="1417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1 055 220,3</w:t>
            </w:r>
          </w:p>
        </w:tc>
        <w:tc>
          <w:tcPr>
            <w:tcW w:w="1124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586 937,2</w:t>
            </w:r>
          </w:p>
        </w:tc>
        <w:tc>
          <w:tcPr>
            <w:tcW w:w="861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  <w:shd w:val="clear" w:color="auto" w:fill="FFFFFF"/>
          </w:tcPr>
          <w:p w:rsidR="00C438C4" w:rsidRPr="0019099F" w:rsidRDefault="00C438C4" w:rsidP="00DB5765">
            <w:pPr>
              <w:jc w:val="center"/>
              <w:rPr>
                <w:sz w:val="22"/>
                <w:szCs w:val="22"/>
                <w:lang w:eastAsia="it-IT"/>
              </w:rPr>
            </w:pPr>
            <w:r w:rsidRPr="0019099F">
              <w:rPr>
                <w:sz w:val="22"/>
                <w:szCs w:val="22"/>
                <w:lang w:eastAsia="it-IT"/>
              </w:rPr>
              <w:t>3 109 484,9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D17EE7">
              <w:rPr>
                <w:bCs/>
                <w:sz w:val="26"/>
                <w:szCs w:val="26"/>
              </w:rPr>
              <w:t xml:space="preserve">11. Джерела фінансування проекту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C438C4" w:rsidRPr="00487E37" w:rsidRDefault="00C438C4" w:rsidP="00726CB7">
            <w:pPr>
              <w:spacing w:before="40" w:after="40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Державний фонд регіонального розвитку, обласний бюджет</w:t>
            </w:r>
            <w:r w:rsidR="0019099F" w:rsidRPr="00487E37">
              <w:rPr>
                <w:rFonts w:eastAsia="Calibri"/>
                <w:color w:val="auto"/>
                <w:sz w:val="26"/>
                <w:szCs w:val="26"/>
              </w:rPr>
              <w:t>, місцеві бюджети</w:t>
            </w:r>
          </w:p>
        </w:tc>
      </w:tr>
      <w:tr w:rsidR="00C438C4" w:rsidRPr="00D17EE7" w:rsidTr="0019099F">
        <w:tc>
          <w:tcPr>
            <w:tcW w:w="3970" w:type="dxa"/>
            <w:shd w:val="clear" w:color="auto" w:fill="FFFFFF"/>
          </w:tcPr>
          <w:p w:rsidR="00C438C4" w:rsidRPr="00D17EE7" w:rsidRDefault="00C438C4" w:rsidP="00726CB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7EE7">
              <w:rPr>
                <w:sz w:val="26"/>
                <w:szCs w:val="26"/>
              </w:rPr>
              <w:t xml:space="preserve">12. Учасники реалізації проекту та їх функції </w:t>
            </w:r>
          </w:p>
          <w:p w:rsidR="00C438C4" w:rsidRPr="00D17EE7" w:rsidRDefault="00C438C4" w:rsidP="00726CB7">
            <w:pPr>
              <w:spacing w:before="40" w:after="4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5"/>
          </w:tcPr>
          <w:p w:rsidR="00C438C4" w:rsidRPr="00487E37" w:rsidRDefault="00C74E18" w:rsidP="00C438C4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487E37">
              <w:rPr>
                <w:rFonts w:eastAsia="Calibri"/>
                <w:color w:val="auto"/>
                <w:sz w:val="26"/>
                <w:szCs w:val="26"/>
              </w:rPr>
              <w:t>Виконавчі комітети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 xml:space="preserve">, </w:t>
            </w:r>
            <w:r w:rsidRPr="00487E37">
              <w:rPr>
                <w:rFonts w:eastAsia="Calibri"/>
                <w:color w:val="auto"/>
                <w:sz w:val="26"/>
                <w:szCs w:val="26"/>
              </w:rPr>
              <w:t>райдержадміністрації</w:t>
            </w:r>
            <w:r w:rsidR="00C438C4" w:rsidRPr="00487E37">
              <w:rPr>
                <w:rFonts w:eastAsia="Calibri"/>
                <w:color w:val="auto"/>
                <w:sz w:val="26"/>
                <w:szCs w:val="26"/>
              </w:rPr>
              <w:t>,  департамент капітального будівництва облдержадміністрації</w:t>
            </w:r>
            <w:r w:rsidR="001B5F50">
              <w:rPr>
                <w:rFonts w:eastAsia="Calibri"/>
                <w:color w:val="auto"/>
                <w:sz w:val="26"/>
                <w:szCs w:val="26"/>
              </w:rPr>
              <w:t>, об’єднанні територіальні громади</w:t>
            </w:r>
          </w:p>
        </w:tc>
      </w:tr>
      <w:tr w:rsidR="00C438C4" w:rsidRPr="00367341" w:rsidTr="0019099F">
        <w:tc>
          <w:tcPr>
            <w:tcW w:w="3970" w:type="dxa"/>
            <w:shd w:val="clear" w:color="auto" w:fill="FFFFFF"/>
          </w:tcPr>
          <w:p w:rsidR="00C438C4" w:rsidRPr="00076329" w:rsidRDefault="00C438C4" w:rsidP="00726CB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076329">
              <w:rPr>
                <w:bCs/>
                <w:sz w:val="26"/>
                <w:szCs w:val="26"/>
              </w:rPr>
              <w:t>13. Інша інфо</w:t>
            </w:r>
            <w:r>
              <w:rPr>
                <w:bCs/>
                <w:sz w:val="26"/>
                <w:szCs w:val="26"/>
              </w:rPr>
              <w:t xml:space="preserve">рмація щодо проекту </w:t>
            </w:r>
          </w:p>
        </w:tc>
        <w:tc>
          <w:tcPr>
            <w:tcW w:w="6095" w:type="dxa"/>
            <w:gridSpan w:val="5"/>
          </w:tcPr>
          <w:p w:rsidR="00C438C4" w:rsidRPr="00367341" w:rsidRDefault="00C438C4" w:rsidP="00726CB7">
            <w:pPr>
              <w:spacing w:before="40" w:after="40"/>
              <w:rPr>
                <w:rFonts w:ascii="Cambria" w:hAnsi="Cambria" w:cs="Arial"/>
                <w:sz w:val="16"/>
                <w:szCs w:val="16"/>
                <w:lang w:eastAsia="it-IT"/>
              </w:rPr>
            </w:pPr>
          </w:p>
        </w:tc>
      </w:tr>
    </w:tbl>
    <w:p w:rsidR="00122378" w:rsidRDefault="00122378" w:rsidP="00122378">
      <w:pPr>
        <w:ind w:right="-1"/>
        <w:jc w:val="both"/>
        <w:rPr>
          <w:rFonts w:eastAsia="Calibri"/>
          <w:color w:val="auto"/>
        </w:rPr>
      </w:pPr>
    </w:p>
    <w:sectPr w:rsidR="0012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7B4"/>
    <w:multiLevelType w:val="hybridMultilevel"/>
    <w:tmpl w:val="C05C3002"/>
    <w:lvl w:ilvl="0" w:tplc="445ABAA4">
      <w:start w:val="1"/>
      <w:numFmt w:val="bullet"/>
      <w:lvlText w:val="-"/>
      <w:lvlJc w:val="left"/>
      <w:pPr>
        <w:ind w:left="7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>
    <w:nsid w:val="25A8686B"/>
    <w:multiLevelType w:val="hybridMultilevel"/>
    <w:tmpl w:val="E60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4BEF"/>
    <w:multiLevelType w:val="hybridMultilevel"/>
    <w:tmpl w:val="71C04602"/>
    <w:lvl w:ilvl="0" w:tplc="28E094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74"/>
    <w:rsid w:val="00012B47"/>
    <w:rsid w:val="001157BD"/>
    <w:rsid w:val="00116AB7"/>
    <w:rsid w:val="00122378"/>
    <w:rsid w:val="00136584"/>
    <w:rsid w:val="0019099F"/>
    <w:rsid w:val="001B5F50"/>
    <w:rsid w:val="002474A8"/>
    <w:rsid w:val="0028056C"/>
    <w:rsid w:val="00300D4C"/>
    <w:rsid w:val="00315ECA"/>
    <w:rsid w:val="00346996"/>
    <w:rsid w:val="003575BA"/>
    <w:rsid w:val="00406412"/>
    <w:rsid w:val="00426E6B"/>
    <w:rsid w:val="00475577"/>
    <w:rsid w:val="00487E37"/>
    <w:rsid w:val="004B5922"/>
    <w:rsid w:val="004C62FD"/>
    <w:rsid w:val="005039B4"/>
    <w:rsid w:val="00510AFA"/>
    <w:rsid w:val="00515AF5"/>
    <w:rsid w:val="0052660D"/>
    <w:rsid w:val="0054230E"/>
    <w:rsid w:val="00547E8D"/>
    <w:rsid w:val="00557E7E"/>
    <w:rsid w:val="005B4E7A"/>
    <w:rsid w:val="0060431A"/>
    <w:rsid w:val="006A3510"/>
    <w:rsid w:val="006B79DB"/>
    <w:rsid w:val="006C5F93"/>
    <w:rsid w:val="006E70A2"/>
    <w:rsid w:val="00700374"/>
    <w:rsid w:val="007244F2"/>
    <w:rsid w:val="007A7974"/>
    <w:rsid w:val="007B0838"/>
    <w:rsid w:val="007B4A7D"/>
    <w:rsid w:val="00880C4E"/>
    <w:rsid w:val="008973A4"/>
    <w:rsid w:val="008C5365"/>
    <w:rsid w:val="00916E3B"/>
    <w:rsid w:val="009834BD"/>
    <w:rsid w:val="009A684C"/>
    <w:rsid w:val="009F3B43"/>
    <w:rsid w:val="00A367CC"/>
    <w:rsid w:val="00A61E05"/>
    <w:rsid w:val="00AD1419"/>
    <w:rsid w:val="00AF321A"/>
    <w:rsid w:val="00B217E8"/>
    <w:rsid w:val="00BB2B9D"/>
    <w:rsid w:val="00C438C4"/>
    <w:rsid w:val="00C74E18"/>
    <w:rsid w:val="00D14D3D"/>
    <w:rsid w:val="00D17EE7"/>
    <w:rsid w:val="00D305ED"/>
    <w:rsid w:val="00D74AD2"/>
    <w:rsid w:val="00DE03C2"/>
    <w:rsid w:val="00E04C38"/>
    <w:rsid w:val="00E2016E"/>
    <w:rsid w:val="00E22D75"/>
    <w:rsid w:val="00E71942"/>
    <w:rsid w:val="00EA37E6"/>
    <w:rsid w:val="00EF351D"/>
    <w:rsid w:val="00F00E72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122378"/>
    <w:pPr>
      <w:spacing w:before="240" w:after="60"/>
      <w:outlineLvl w:val="5"/>
    </w:pPr>
    <w:rPr>
      <w:b/>
      <w:bCs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2237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D1419"/>
    <w:pPr>
      <w:ind w:left="720"/>
      <w:contextualSpacing/>
    </w:pPr>
  </w:style>
  <w:style w:type="paragraph" w:customStyle="1" w:styleId="a4">
    <w:name w:val="Содержимое таблицы"/>
    <w:basedOn w:val="a"/>
    <w:rsid w:val="005B4E7A"/>
    <w:pPr>
      <w:widowControl w:val="0"/>
      <w:suppressLineNumbers/>
      <w:suppressAutoHyphens/>
    </w:pPr>
    <w:rPr>
      <w:rFonts w:ascii="Liberation Serif" w:eastAsia="SimSun" w:hAnsi="Liberation Serif" w:cs="Mangal"/>
      <w:color w:val="auto"/>
      <w:kern w:val="1"/>
      <w:lang w:val="ru-RU" w:eastAsia="zh-CN" w:bidi="hi-IN"/>
    </w:rPr>
  </w:style>
  <w:style w:type="paragraph" w:customStyle="1" w:styleId="a5">
    <w:name w:val="Текст в заданном формате"/>
    <w:basedOn w:val="a"/>
    <w:rsid w:val="005B4E7A"/>
    <w:pPr>
      <w:widowControl w:val="0"/>
      <w:suppressAutoHyphens/>
    </w:pPr>
    <w:rPr>
      <w:rFonts w:ascii="Liberation Mono" w:eastAsia="NSimSun" w:hAnsi="Liberation Mono" w:cs="Liberation Mono"/>
      <w:color w:val="auto"/>
      <w:kern w:val="1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CAF5-7E3E-4FEF-9B6F-E5319B41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Роман Борисович</dc:creator>
  <cp:lastModifiedBy>Owner</cp:lastModifiedBy>
  <cp:revision>19</cp:revision>
  <cp:lastPrinted>2016-04-22T08:13:00Z</cp:lastPrinted>
  <dcterms:created xsi:type="dcterms:W3CDTF">2016-04-19T15:54:00Z</dcterms:created>
  <dcterms:modified xsi:type="dcterms:W3CDTF">2016-12-21T10:33:00Z</dcterms:modified>
</cp:coreProperties>
</file>