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0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993"/>
        <w:gridCol w:w="1124"/>
        <w:gridCol w:w="1418"/>
        <w:gridCol w:w="1569"/>
      </w:tblGrid>
      <w:tr w:rsidR="00122378" w:rsidRPr="00367341" w:rsidTr="00406412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122378" w:rsidRPr="006E5FD3" w:rsidRDefault="008237E5" w:rsidP="006E5FD3">
            <w:pPr>
              <w:spacing w:before="40" w:after="4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Забезпечення розвитку фізичної культури і спорту, шляхом створення доступної спортивної інфраструктури</w:t>
            </w:r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122378" w:rsidRPr="008237E5" w:rsidRDefault="008237E5" w:rsidP="00E474FA">
            <w:pPr>
              <w:pBdr>
                <w:left w:val="single" w:sz="18" w:space="4" w:color="auto"/>
              </w:pBdr>
              <w:spacing w:before="40" w:after="40"/>
              <w:jc w:val="both"/>
              <w:rPr>
                <w:bCs/>
                <w:color w:val="auto"/>
                <w:sz w:val="26"/>
                <w:szCs w:val="26"/>
              </w:rPr>
            </w:pPr>
            <w:r w:rsidRPr="008237E5">
              <w:rPr>
                <w:sz w:val="26"/>
                <w:szCs w:val="26"/>
                <w:lang w:eastAsia="it-IT"/>
              </w:rPr>
              <w:t>3.5.4. Забезпечити розвиток фізичної культури і спорту, популяризацію здорового способу життя та підтримку провідних спортсменів області, створити доступну спортивну інфраструктуру, розвинути мережу спортивних шкіл та організацій, зокрема шляхом підтримки центрів фізичного здоров’я «Спорт для всіх».</w:t>
            </w:r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4C41C0" w:rsidRPr="006E5FD3" w:rsidRDefault="008237E5" w:rsidP="004C41C0">
            <w:pPr>
              <w:shd w:val="clear" w:color="auto" w:fill="FFFFFF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Створення сучасної доступної інфраструктури</w:t>
            </w:r>
          </w:p>
          <w:p w:rsidR="00AD1419" w:rsidRPr="00367341" w:rsidRDefault="00AD1419" w:rsidP="006E5FD3">
            <w:pPr>
              <w:spacing w:before="40" w:after="4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AD1419" w:rsidRPr="005B4E7A" w:rsidRDefault="006E5FD3" w:rsidP="00726CB7">
            <w:pPr>
              <w:spacing w:before="40" w:after="40"/>
            </w:pPr>
            <w:r w:rsidRPr="006E5FD3">
              <w:rPr>
                <w:bCs/>
                <w:color w:val="auto"/>
                <w:sz w:val="26"/>
                <w:szCs w:val="26"/>
              </w:rPr>
              <w:t>Територія Донецької області, підконтрольна Уряду України</w:t>
            </w:r>
          </w:p>
        </w:tc>
      </w:tr>
      <w:tr w:rsidR="005B4E7A" w:rsidRPr="00367341" w:rsidTr="00406412">
        <w:tc>
          <w:tcPr>
            <w:tcW w:w="3970" w:type="dxa"/>
          </w:tcPr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</w:p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5B4E7A" w:rsidRPr="005B4E7A" w:rsidRDefault="008237E5" w:rsidP="006E5FD3">
            <w:pPr>
              <w:spacing w:before="40" w:after="40"/>
            </w:pPr>
            <w:r>
              <w:rPr>
                <w:bCs/>
                <w:color w:val="auto"/>
                <w:sz w:val="26"/>
                <w:szCs w:val="26"/>
              </w:rPr>
              <w:t>Понад 500 тисяч населення різних вікових груп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7576FF" w:rsidRDefault="00C11D36" w:rsidP="004C41C0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 області тривалий час не приділяється достатня увага об’єктам спортивної інфраструктури</w:t>
            </w:r>
            <w:r w:rsidR="007576FF">
              <w:rPr>
                <w:bCs/>
                <w:color w:val="auto"/>
                <w:sz w:val="26"/>
                <w:szCs w:val="26"/>
              </w:rPr>
              <w:t>.</w:t>
            </w:r>
          </w:p>
          <w:p w:rsidR="00F94687" w:rsidRDefault="007576FF" w:rsidP="004C41C0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Існуючі з</w:t>
            </w:r>
            <w:r>
              <w:rPr>
                <w:bCs/>
                <w:color w:val="auto"/>
                <w:sz w:val="26"/>
                <w:szCs w:val="26"/>
              </w:rPr>
              <w:t xml:space="preserve">аклади </w:t>
            </w:r>
            <w:r>
              <w:rPr>
                <w:bCs/>
                <w:color w:val="auto"/>
                <w:sz w:val="26"/>
                <w:szCs w:val="26"/>
              </w:rPr>
              <w:t xml:space="preserve">перебувають в </w:t>
            </w:r>
            <w:r w:rsidR="00F94687">
              <w:rPr>
                <w:bCs/>
                <w:color w:val="auto"/>
                <w:sz w:val="26"/>
                <w:szCs w:val="26"/>
              </w:rPr>
              <w:t>занедбаному</w:t>
            </w:r>
            <w:r>
              <w:rPr>
                <w:bCs/>
                <w:color w:val="auto"/>
                <w:sz w:val="26"/>
                <w:szCs w:val="26"/>
              </w:rPr>
              <w:t xml:space="preserve"> стані та потребують проведення капітального ремонту</w:t>
            </w:r>
            <w:r w:rsidR="00F94687">
              <w:rPr>
                <w:bCs/>
                <w:color w:val="auto"/>
                <w:sz w:val="26"/>
                <w:szCs w:val="26"/>
              </w:rPr>
              <w:t>, реконструкції. Спортивне</w:t>
            </w:r>
            <w:r w:rsidR="00F94687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F94687">
              <w:rPr>
                <w:bCs/>
                <w:color w:val="auto"/>
                <w:sz w:val="26"/>
                <w:szCs w:val="26"/>
              </w:rPr>
              <w:t>обладнання</w:t>
            </w:r>
            <w:r w:rsidR="00F94687">
              <w:rPr>
                <w:bCs/>
                <w:color w:val="auto"/>
                <w:sz w:val="26"/>
                <w:szCs w:val="26"/>
              </w:rPr>
              <w:t xml:space="preserve"> не оновлювалося тривалий час</w:t>
            </w:r>
            <w:r w:rsidR="00F94687">
              <w:rPr>
                <w:bCs/>
                <w:color w:val="auto"/>
                <w:sz w:val="26"/>
                <w:szCs w:val="26"/>
              </w:rPr>
              <w:t>.</w:t>
            </w:r>
          </w:p>
          <w:p w:rsidR="00F94687" w:rsidRDefault="0098016D" w:rsidP="00F94687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Більшість плавальних басейнів тривалий час знаходяться у неробочому стані</w:t>
            </w:r>
            <w:r w:rsidR="00F94687">
              <w:rPr>
                <w:bCs/>
                <w:color w:val="auto"/>
                <w:sz w:val="26"/>
                <w:szCs w:val="26"/>
              </w:rPr>
              <w:t>.</w:t>
            </w:r>
          </w:p>
          <w:p w:rsidR="0098016D" w:rsidRDefault="0098016D" w:rsidP="00F94687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Низький рівень спортивних майданчиків (майданчики зі штучним покриттям, комплексні ігрові спортивні майданчики) не відповідають існуючим 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ДБНам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. </w:t>
            </w:r>
          </w:p>
          <w:p w:rsidR="00F94687" w:rsidRDefault="00F94687" w:rsidP="00F94687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Основні спортивні споруди, які відповідають вимогам Федерацій з видів спорту для проведення спортивно-масових заходів</w:t>
            </w:r>
            <w:r w:rsidR="005A5A26">
              <w:rPr>
                <w:bCs/>
                <w:color w:val="auto"/>
                <w:sz w:val="26"/>
                <w:szCs w:val="26"/>
              </w:rPr>
              <w:t>,</w:t>
            </w:r>
            <w:r>
              <w:rPr>
                <w:bCs/>
                <w:color w:val="auto"/>
                <w:sz w:val="26"/>
                <w:szCs w:val="26"/>
              </w:rPr>
              <w:t xml:space="preserve"> зали</w:t>
            </w:r>
            <w:r w:rsidR="0098016D">
              <w:rPr>
                <w:bCs/>
                <w:color w:val="auto"/>
                <w:sz w:val="26"/>
                <w:szCs w:val="26"/>
              </w:rPr>
              <w:t>шилися на території</w:t>
            </w:r>
            <w:r>
              <w:rPr>
                <w:bCs/>
                <w:color w:val="auto"/>
                <w:sz w:val="26"/>
                <w:szCs w:val="26"/>
              </w:rPr>
              <w:t>,</w:t>
            </w:r>
            <w:r w:rsidR="0098016D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</w:rPr>
              <w:t>що непідконтрольна Українській владі.</w:t>
            </w:r>
          </w:p>
          <w:p w:rsidR="005A5A26" w:rsidRPr="007576FF" w:rsidRDefault="005A5A26" w:rsidP="00F94687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Також, відсутні спортивні споруди для проведення змагань вищого рівня на території області.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7. Очікувані кількісні та якісні результати від реалізації проекту, інновації проекту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FFFFFF"/>
          </w:tcPr>
          <w:p w:rsidR="00F1534B" w:rsidRPr="00C11D36" w:rsidRDefault="00F1534B" w:rsidP="00C11D3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C11D36"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="00F76C76">
              <w:rPr>
                <w:sz w:val="26"/>
                <w:szCs w:val="26"/>
              </w:rPr>
              <w:t>р</w:t>
            </w:r>
            <w:r w:rsidRPr="00C11D36">
              <w:rPr>
                <w:sz w:val="26"/>
                <w:szCs w:val="26"/>
              </w:rPr>
              <w:t>еконструйовано будівлю комунального лікувально-профілактичного закладу «Обласний ліка</w:t>
            </w:r>
            <w:r w:rsidRPr="00C11D36">
              <w:rPr>
                <w:sz w:val="26"/>
                <w:szCs w:val="26"/>
              </w:rPr>
              <w:t>рсько-фізкультурний диспансер»;</w:t>
            </w:r>
          </w:p>
          <w:p w:rsidR="00F1534B" w:rsidRPr="00C11D36" w:rsidRDefault="005A5A26" w:rsidP="00C11D36">
            <w:pPr>
              <w:keepNext/>
              <w:widowControl w:val="0"/>
              <w:spacing w:before="40" w:after="40"/>
              <w:jc w:val="both"/>
              <w:rPr>
                <w:sz w:val="26"/>
                <w:szCs w:val="26"/>
                <w:lang w:eastAsia="it-IT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F76C76">
              <w:rPr>
                <w:sz w:val="26"/>
                <w:szCs w:val="26"/>
              </w:rPr>
              <w:t xml:space="preserve"> п</w:t>
            </w:r>
            <w:r w:rsidR="00F1534B" w:rsidRPr="00C11D36">
              <w:rPr>
                <w:sz w:val="26"/>
                <w:szCs w:val="26"/>
                <w:lang w:eastAsia="it-IT"/>
              </w:rPr>
              <w:t>обудовано 5-ти поверхову прибудову до гуртожитку ДВУОР ім.</w:t>
            </w:r>
            <w:r w:rsidR="00F1534B" w:rsidRPr="00C11D36">
              <w:rPr>
                <w:sz w:val="26"/>
                <w:szCs w:val="26"/>
                <w:lang w:val="en-US" w:eastAsia="it-IT"/>
              </w:rPr>
              <w:t> </w:t>
            </w:r>
            <w:r w:rsidR="00F1534B" w:rsidRPr="00C11D36">
              <w:rPr>
                <w:sz w:val="26"/>
                <w:szCs w:val="26"/>
                <w:lang w:eastAsia="it-IT"/>
              </w:rPr>
              <w:t>С.</w:t>
            </w:r>
            <w:r w:rsidR="00F1534B" w:rsidRPr="00C11D36">
              <w:rPr>
                <w:sz w:val="26"/>
                <w:szCs w:val="26"/>
                <w:lang w:val="en-US" w:eastAsia="it-IT"/>
              </w:rPr>
              <w:t> </w:t>
            </w:r>
            <w:r w:rsidR="00F1534B" w:rsidRPr="00C11D36">
              <w:rPr>
                <w:sz w:val="26"/>
                <w:szCs w:val="26"/>
                <w:lang w:eastAsia="it-IT"/>
              </w:rPr>
              <w:t>Бубки</w:t>
            </w:r>
            <w:r w:rsidR="00F0605B" w:rsidRPr="00C11D36">
              <w:rPr>
                <w:sz w:val="26"/>
                <w:szCs w:val="26"/>
                <w:lang w:eastAsia="it-IT"/>
              </w:rPr>
              <w:t xml:space="preserve"> (</w:t>
            </w:r>
            <w:r w:rsidR="00F0605B" w:rsidRPr="00C11D36">
              <w:rPr>
                <w:sz w:val="26"/>
                <w:szCs w:val="26"/>
                <w:lang w:eastAsia="it-IT"/>
              </w:rPr>
              <w:t>навчальн</w:t>
            </w:r>
            <w:r w:rsidR="00F0605B" w:rsidRPr="00C11D36">
              <w:rPr>
                <w:sz w:val="26"/>
                <w:szCs w:val="26"/>
                <w:lang w:eastAsia="it-IT"/>
              </w:rPr>
              <w:t xml:space="preserve">і класи на 400 учнівських місць,  гуртожиток на 24 ліжко-місць, </w:t>
            </w:r>
            <w:r w:rsidR="00F0605B" w:rsidRPr="00C11D36">
              <w:rPr>
                <w:sz w:val="26"/>
                <w:szCs w:val="26"/>
                <w:lang w:eastAsia="it-IT"/>
              </w:rPr>
              <w:t xml:space="preserve"> буфет на 60 місць</w:t>
            </w:r>
            <w:r w:rsidR="00F0605B" w:rsidRPr="00C11D36">
              <w:rPr>
                <w:sz w:val="26"/>
                <w:szCs w:val="26"/>
                <w:lang w:eastAsia="it-IT"/>
              </w:rPr>
              <w:t xml:space="preserve">, </w:t>
            </w:r>
            <w:r w:rsidR="00F0605B" w:rsidRPr="00C11D36">
              <w:rPr>
                <w:sz w:val="26"/>
                <w:szCs w:val="26"/>
                <w:lang w:eastAsia="it-IT"/>
              </w:rPr>
              <w:t>тир, 2 спортивних зала, спортивно-тренувальні споруди, спортивний корпус з плавальним басейном</w:t>
            </w:r>
            <w:r w:rsidR="00F0605B" w:rsidRPr="00C11D36">
              <w:rPr>
                <w:sz w:val="26"/>
                <w:szCs w:val="26"/>
                <w:lang w:eastAsia="it-IT"/>
              </w:rPr>
              <w:t>)</w:t>
            </w:r>
            <w:r w:rsidR="00F1534B" w:rsidRPr="00C11D36">
              <w:rPr>
                <w:sz w:val="26"/>
                <w:szCs w:val="26"/>
                <w:lang w:eastAsia="it-IT"/>
              </w:rPr>
              <w:t>;</w:t>
            </w:r>
          </w:p>
          <w:p w:rsidR="00F1534B" w:rsidRPr="00C11D36" w:rsidRDefault="00C11D36" w:rsidP="00C11D36">
            <w:pPr>
              <w:keepNext/>
              <w:widowControl w:val="0"/>
              <w:spacing w:before="40" w:after="40"/>
              <w:jc w:val="both"/>
              <w:rPr>
                <w:sz w:val="26"/>
                <w:szCs w:val="26"/>
                <w:lang w:eastAsia="it-IT"/>
              </w:rPr>
            </w:pPr>
            <w:r>
              <w:rPr>
                <w:sz w:val="26"/>
                <w:szCs w:val="26"/>
              </w:rPr>
              <w:t>-</w:t>
            </w:r>
            <w:r w:rsidR="00F76C76">
              <w:rPr>
                <w:sz w:val="26"/>
                <w:szCs w:val="26"/>
              </w:rPr>
              <w:t xml:space="preserve"> </w:t>
            </w:r>
            <w:r w:rsidR="00F1534B" w:rsidRPr="00C11D36">
              <w:rPr>
                <w:sz w:val="26"/>
                <w:szCs w:val="26"/>
                <w:lang w:eastAsia="it-IT"/>
              </w:rPr>
              <w:t>п</w:t>
            </w:r>
            <w:r w:rsidR="00F1534B" w:rsidRPr="00C11D36">
              <w:rPr>
                <w:sz w:val="26"/>
                <w:szCs w:val="26"/>
                <w:lang w:eastAsia="it-IT"/>
              </w:rPr>
              <w:t xml:space="preserve">обудовано: 2 плавальні басейни, стадіон, палац спорту, 2 льодових </w:t>
            </w:r>
            <w:proofErr w:type="spellStart"/>
            <w:r w:rsidR="00F1534B" w:rsidRPr="00C11D36">
              <w:rPr>
                <w:sz w:val="26"/>
                <w:szCs w:val="26"/>
                <w:lang w:eastAsia="it-IT"/>
              </w:rPr>
              <w:t>палаца</w:t>
            </w:r>
            <w:proofErr w:type="spellEnd"/>
            <w:r w:rsidR="00F1534B" w:rsidRPr="00C11D36">
              <w:rPr>
                <w:sz w:val="26"/>
                <w:szCs w:val="26"/>
                <w:lang w:eastAsia="it-IT"/>
              </w:rPr>
              <w:t>, фізкультурно-оздоровчий комплекс;</w:t>
            </w:r>
          </w:p>
          <w:p w:rsidR="00F1534B" w:rsidRPr="00C11D36" w:rsidRDefault="00C11D36" w:rsidP="00C11D36">
            <w:pPr>
              <w:keepNext/>
              <w:widowControl w:val="0"/>
              <w:spacing w:before="40" w:after="40"/>
              <w:jc w:val="both"/>
              <w:rPr>
                <w:sz w:val="26"/>
                <w:szCs w:val="26"/>
                <w:lang w:eastAsia="it-IT"/>
              </w:rPr>
            </w:pPr>
            <w:proofErr w:type="spellStart"/>
            <w:r>
              <w:rPr>
                <w:sz w:val="26"/>
                <w:szCs w:val="26"/>
              </w:rPr>
              <w:t>-</w:t>
            </w:r>
            <w:r w:rsidR="00F1534B" w:rsidRPr="00C11D36">
              <w:rPr>
                <w:sz w:val="26"/>
                <w:szCs w:val="26"/>
              </w:rPr>
              <w:t>п</w:t>
            </w:r>
            <w:r w:rsidR="00F1534B" w:rsidRPr="00C11D36">
              <w:rPr>
                <w:sz w:val="26"/>
                <w:szCs w:val="26"/>
              </w:rPr>
              <w:t>роведено</w:t>
            </w:r>
            <w:proofErr w:type="spellEnd"/>
            <w:r w:rsidR="00F1534B" w:rsidRPr="00C11D36">
              <w:rPr>
                <w:sz w:val="26"/>
                <w:szCs w:val="26"/>
                <w:lang w:eastAsia="it-IT"/>
              </w:rPr>
              <w:t xml:space="preserve"> реконструкцію 2 спортивних комплексів, 3 плавальних басейнів, 2 стадіонів, 2 комплексних ДЮСШ, спортивного клубу за місцем проживання;</w:t>
            </w:r>
          </w:p>
          <w:p w:rsidR="00F1534B" w:rsidRPr="00C11D36" w:rsidRDefault="00F1534B" w:rsidP="00C11D36">
            <w:pPr>
              <w:keepNext/>
              <w:widowControl w:val="0"/>
              <w:spacing w:before="40" w:after="40"/>
              <w:jc w:val="both"/>
              <w:rPr>
                <w:sz w:val="26"/>
                <w:szCs w:val="26"/>
                <w:lang w:eastAsia="it-IT"/>
              </w:rPr>
            </w:pPr>
            <w:r w:rsidRPr="00C11D36">
              <w:rPr>
                <w:sz w:val="26"/>
                <w:szCs w:val="26"/>
                <w:lang w:eastAsia="it-IT"/>
              </w:rPr>
              <w:t xml:space="preserve">- </w:t>
            </w:r>
            <w:r w:rsidR="00C11D36">
              <w:rPr>
                <w:sz w:val="26"/>
                <w:szCs w:val="26"/>
                <w:lang w:eastAsia="it-IT"/>
              </w:rPr>
              <w:t xml:space="preserve"> </w:t>
            </w:r>
            <w:r w:rsidRPr="00C11D36">
              <w:rPr>
                <w:sz w:val="26"/>
                <w:szCs w:val="26"/>
                <w:lang w:eastAsia="it-IT"/>
              </w:rPr>
              <w:t>в</w:t>
            </w:r>
            <w:r w:rsidRPr="00C11D36">
              <w:rPr>
                <w:sz w:val="26"/>
                <w:szCs w:val="26"/>
                <w:lang w:eastAsia="it-IT"/>
              </w:rPr>
              <w:t>ідремонтовано 6 спортивних залів, 25 спортивних майданчиків</w:t>
            </w:r>
            <w:r w:rsidRPr="00C11D36">
              <w:rPr>
                <w:sz w:val="26"/>
                <w:szCs w:val="26"/>
                <w:lang w:eastAsia="it-IT"/>
              </w:rPr>
              <w:t>.</w:t>
            </w:r>
          </w:p>
          <w:p w:rsidR="004C41C0" w:rsidRPr="00C11D36" w:rsidRDefault="00F1534B" w:rsidP="00C11D36">
            <w:pPr>
              <w:keepNext/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C11D36">
              <w:rPr>
                <w:sz w:val="26"/>
                <w:szCs w:val="26"/>
              </w:rPr>
              <w:t>Створено додатково 20 робочих місць, у тому числі для ВПО.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lastRenderedPageBreak/>
              <w:t>8. Основні заходи проекту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F0605B" w:rsidRPr="00C11D36" w:rsidRDefault="00C11D36" w:rsidP="00C11D36">
            <w:pPr>
              <w:pStyle w:val="a3"/>
              <w:keepNext/>
              <w:widowControl w:val="0"/>
              <w:spacing w:before="40" w:after="40"/>
              <w:ind w:left="-9"/>
              <w:jc w:val="both"/>
              <w:rPr>
                <w:sz w:val="26"/>
                <w:szCs w:val="26"/>
                <w:lang w:eastAsia="it-IT"/>
              </w:rPr>
            </w:pPr>
            <w:r>
              <w:rPr>
                <w:sz w:val="26"/>
                <w:szCs w:val="26"/>
                <w:lang w:eastAsia="it-IT"/>
              </w:rPr>
              <w:t xml:space="preserve">- </w:t>
            </w:r>
            <w:r w:rsidR="00000945">
              <w:rPr>
                <w:sz w:val="26"/>
                <w:szCs w:val="26"/>
                <w:lang w:eastAsia="it-IT"/>
              </w:rPr>
              <w:t xml:space="preserve"> </w:t>
            </w:r>
            <w:r>
              <w:rPr>
                <w:sz w:val="26"/>
                <w:szCs w:val="26"/>
                <w:lang w:eastAsia="it-IT"/>
              </w:rPr>
              <w:t>п</w:t>
            </w:r>
            <w:r w:rsidR="00F0605B" w:rsidRPr="00C11D36">
              <w:rPr>
                <w:sz w:val="26"/>
                <w:szCs w:val="26"/>
                <w:lang w:eastAsia="it-IT"/>
              </w:rPr>
              <w:t>обудувати два плавальних басейни, стадіон, палац спорту, два льодових палацу, фізкультурно-оздоровчий комплекс;</w:t>
            </w:r>
          </w:p>
          <w:p w:rsidR="00F0605B" w:rsidRPr="00C11D36" w:rsidRDefault="00C11D36" w:rsidP="00C11D36">
            <w:pPr>
              <w:pStyle w:val="a3"/>
              <w:keepNext/>
              <w:widowControl w:val="0"/>
              <w:spacing w:before="40" w:after="40"/>
              <w:ind w:left="-9"/>
              <w:jc w:val="both"/>
              <w:rPr>
                <w:sz w:val="26"/>
                <w:szCs w:val="26"/>
                <w:lang w:eastAsia="it-IT"/>
              </w:rPr>
            </w:pPr>
            <w:r>
              <w:rPr>
                <w:sz w:val="26"/>
                <w:szCs w:val="26"/>
                <w:lang w:eastAsia="it-IT"/>
              </w:rPr>
              <w:t>-</w:t>
            </w:r>
            <w:r w:rsidR="00000945">
              <w:rPr>
                <w:sz w:val="26"/>
                <w:szCs w:val="26"/>
                <w:lang w:eastAsia="it-IT"/>
              </w:rPr>
              <w:t xml:space="preserve"> </w:t>
            </w:r>
            <w:r>
              <w:rPr>
                <w:sz w:val="26"/>
                <w:szCs w:val="26"/>
                <w:lang w:eastAsia="it-IT"/>
              </w:rPr>
              <w:t>п</w:t>
            </w:r>
            <w:r w:rsidR="00F0605B" w:rsidRPr="00C11D36">
              <w:rPr>
                <w:sz w:val="26"/>
                <w:szCs w:val="26"/>
                <w:lang w:eastAsia="it-IT"/>
              </w:rPr>
              <w:t>ровести реконструкцію двох спортивних комплексів, трьох плавальних басейнів, двох стадіонів, двох комплексних ДЮСШ, спортивного клубу за місцем проживання;</w:t>
            </w:r>
          </w:p>
          <w:p w:rsidR="00F0605B" w:rsidRPr="00C11D36" w:rsidRDefault="00C11D36" w:rsidP="00C11D36">
            <w:pPr>
              <w:pStyle w:val="a4"/>
              <w:ind w:left="-9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it-IT"/>
              </w:rPr>
              <w:t>-</w:t>
            </w:r>
            <w:r w:rsidR="00000945">
              <w:rPr>
                <w:rFonts w:ascii="Times New Roman" w:hAnsi="Times New Roman"/>
                <w:sz w:val="26"/>
                <w:szCs w:val="26"/>
                <w:lang w:val="uk-UA" w:eastAsia="it-I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it-IT"/>
              </w:rPr>
              <w:t>в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 w:eastAsia="it-IT"/>
              </w:rPr>
              <w:t>ідремонтувати шість спортивних залів, 25 спортивних майданчиків</w:t>
            </w:r>
          </w:p>
          <w:p w:rsidR="00F0605B" w:rsidRPr="00C11D36" w:rsidRDefault="00C11D36" w:rsidP="00C11D36">
            <w:pPr>
              <w:pStyle w:val="a4"/>
              <w:ind w:left="-9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it-IT"/>
              </w:rPr>
              <w:t>-</w:t>
            </w:r>
            <w:r w:rsidR="00000945">
              <w:rPr>
                <w:rFonts w:ascii="Times New Roman" w:hAnsi="Times New Roman"/>
                <w:sz w:val="26"/>
                <w:szCs w:val="26"/>
                <w:lang w:val="uk-UA" w:eastAsia="it-I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it-IT"/>
              </w:rPr>
              <w:t>р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 w:eastAsia="it-IT"/>
              </w:rPr>
              <w:t>еконстру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 w:eastAsia="it-IT"/>
              </w:rPr>
              <w:t>ювати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 w:eastAsia="it-IT"/>
              </w:rPr>
              <w:t xml:space="preserve"> будівл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 w:eastAsia="it-IT"/>
              </w:rPr>
              <w:t>і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 w:eastAsia="it-IT"/>
              </w:rPr>
              <w:t xml:space="preserve"> 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комунального лікувально-профілактичного закладу «Обласний лікарсько-фізкультурний диспансер» за адресою: </w:t>
            </w:r>
            <w:proofErr w:type="spellStart"/>
            <w:r w:rsidR="00F0605B" w:rsidRPr="00C11D36">
              <w:rPr>
                <w:rFonts w:ascii="Times New Roman" w:hAnsi="Times New Roman"/>
                <w:sz w:val="26"/>
                <w:szCs w:val="26"/>
                <w:lang w:val="uk-UA"/>
              </w:rPr>
              <w:t>м. Бахмут</w:t>
            </w:r>
            <w:proofErr w:type="spellEnd"/>
            <w:r w:rsidR="00F0605B" w:rsidRPr="00C11D3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вул. О. </w:t>
            </w:r>
            <w:proofErr w:type="spellStart"/>
            <w:r w:rsidR="00F0605B" w:rsidRPr="00C11D36">
              <w:rPr>
                <w:rFonts w:ascii="Times New Roman" w:hAnsi="Times New Roman"/>
                <w:sz w:val="26"/>
                <w:szCs w:val="26"/>
                <w:lang w:val="uk-UA"/>
              </w:rPr>
              <w:t>Сибірцева</w:t>
            </w:r>
            <w:proofErr w:type="spellEnd"/>
            <w:r w:rsidR="00F0605B" w:rsidRPr="00C11D36">
              <w:rPr>
                <w:rFonts w:ascii="Times New Roman" w:hAnsi="Times New Roman"/>
                <w:sz w:val="26"/>
                <w:szCs w:val="26"/>
                <w:lang w:val="uk-UA"/>
              </w:rPr>
              <w:t>, 3</w:t>
            </w:r>
            <w:r w:rsidR="00F0605B" w:rsidRPr="00C11D36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B627EE" w:rsidRPr="00C11D36" w:rsidRDefault="00C11D36" w:rsidP="00000945">
            <w:pPr>
              <w:pStyle w:val="a3"/>
              <w:keepNext/>
              <w:widowControl w:val="0"/>
              <w:spacing w:before="40" w:after="40"/>
              <w:ind w:left="-9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009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it-IT"/>
              </w:rPr>
              <w:t>п</w:t>
            </w:r>
            <w:r w:rsidRPr="00C11D36">
              <w:rPr>
                <w:sz w:val="26"/>
                <w:szCs w:val="26"/>
                <w:lang w:eastAsia="it-IT"/>
              </w:rPr>
              <w:t>обуд</w:t>
            </w:r>
            <w:r w:rsidR="00000945">
              <w:rPr>
                <w:sz w:val="26"/>
                <w:szCs w:val="26"/>
                <w:lang w:eastAsia="it-IT"/>
              </w:rPr>
              <w:t>у</w:t>
            </w:r>
            <w:r w:rsidRPr="00C11D36">
              <w:rPr>
                <w:sz w:val="26"/>
                <w:szCs w:val="26"/>
                <w:lang w:eastAsia="it-IT"/>
              </w:rPr>
              <w:t>ва</w:t>
            </w:r>
            <w:r w:rsidRPr="00C11D36">
              <w:rPr>
                <w:sz w:val="26"/>
                <w:szCs w:val="26"/>
                <w:lang w:eastAsia="it-IT"/>
              </w:rPr>
              <w:t>ти</w:t>
            </w:r>
            <w:r w:rsidRPr="00C11D36">
              <w:rPr>
                <w:sz w:val="26"/>
                <w:szCs w:val="26"/>
                <w:lang w:eastAsia="it-IT"/>
              </w:rPr>
              <w:t xml:space="preserve"> 5-ти поверхову прибудову до гуртожитку ДВУОР ім.</w:t>
            </w:r>
            <w:r w:rsidRPr="00C11D36">
              <w:rPr>
                <w:sz w:val="26"/>
                <w:szCs w:val="26"/>
                <w:lang w:val="en-US" w:eastAsia="it-IT"/>
              </w:rPr>
              <w:t> </w:t>
            </w:r>
            <w:r w:rsidRPr="00C11D36">
              <w:rPr>
                <w:sz w:val="26"/>
                <w:szCs w:val="26"/>
                <w:lang w:eastAsia="it-IT"/>
              </w:rPr>
              <w:t>С.</w:t>
            </w:r>
            <w:r w:rsidRPr="00C11D36">
              <w:rPr>
                <w:sz w:val="26"/>
                <w:szCs w:val="26"/>
                <w:lang w:val="en-US" w:eastAsia="it-IT"/>
              </w:rPr>
              <w:t> </w:t>
            </w:r>
            <w:r w:rsidRPr="00C11D36">
              <w:rPr>
                <w:sz w:val="26"/>
                <w:szCs w:val="26"/>
                <w:lang w:eastAsia="it-IT"/>
              </w:rPr>
              <w:t>Бубки</w:t>
            </w:r>
            <w:r w:rsidRPr="00C11D36">
              <w:rPr>
                <w:sz w:val="26"/>
                <w:szCs w:val="26"/>
                <w:lang w:eastAsia="it-IT"/>
              </w:rPr>
              <w:t>.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5B4E7A" w:rsidRPr="005E0EEE" w:rsidRDefault="005B4E7A" w:rsidP="00C11D36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з</w:t>
            </w:r>
            <w:r w:rsidR="00E83519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січня 2017 по грудень 20</w:t>
            </w:r>
            <w:r w:rsidR="00C11D3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20</w:t>
            </w: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року</w:t>
            </w:r>
          </w:p>
        </w:tc>
      </w:tr>
      <w:tr w:rsidR="00406412" w:rsidRPr="00D17EE7" w:rsidTr="00406412">
        <w:tc>
          <w:tcPr>
            <w:tcW w:w="3970" w:type="dxa"/>
            <w:vMerge w:val="restart"/>
            <w:shd w:val="clear" w:color="auto" w:fill="FFFFFF"/>
          </w:tcPr>
          <w:p w:rsidR="00406412" w:rsidRPr="00D17EE7" w:rsidRDefault="00406412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992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569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C11D36" w:rsidRPr="00D17EE7" w:rsidTr="00406412">
        <w:tc>
          <w:tcPr>
            <w:tcW w:w="3970" w:type="dxa"/>
            <w:vMerge/>
            <w:shd w:val="clear" w:color="auto" w:fill="FFFFFF"/>
          </w:tcPr>
          <w:p w:rsidR="00C11D36" w:rsidRPr="00D17EE7" w:rsidRDefault="00C11D36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11D36" w:rsidRPr="005E0EEE" w:rsidRDefault="00C11D36" w:rsidP="00DB5765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671980,4</w:t>
            </w:r>
          </w:p>
        </w:tc>
        <w:tc>
          <w:tcPr>
            <w:tcW w:w="993" w:type="dxa"/>
            <w:shd w:val="clear" w:color="auto" w:fill="FFFFFF"/>
          </w:tcPr>
          <w:p w:rsidR="00C11D36" w:rsidRPr="005E0EEE" w:rsidRDefault="00C11D36" w:rsidP="00DB57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24" w:type="dxa"/>
            <w:shd w:val="clear" w:color="auto" w:fill="FFFFFF"/>
          </w:tcPr>
          <w:p w:rsidR="00C11D36" w:rsidRPr="005E0EEE" w:rsidRDefault="00C11D36" w:rsidP="00DB57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C11D36" w:rsidRPr="005E0EEE" w:rsidRDefault="00C11D36" w:rsidP="00DB57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9" w:type="dxa"/>
            <w:shd w:val="clear" w:color="auto" w:fill="FFFFFF"/>
          </w:tcPr>
          <w:p w:rsidR="00C11D36" w:rsidRPr="005E0EEE" w:rsidRDefault="00C11D36" w:rsidP="0074303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671980,4</w:t>
            </w:r>
          </w:p>
        </w:tc>
      </w:tr>
      <w:tr w:rsidR="00C11D36" w:rsidRPr="00D17EE7" w:rsidTr="00406412">
        <w:tc>
          <w:tcPr>
            <w:tcW w:w="3970" w:type="dxa"/>
            <w:shd w:val="clear" w:color="auto" w:fill="FFFFFF"/>
          </w:tcPr>
          <w:p w:rsidR="00C11D36" w:rsidRPr="00D17EE7" w:rsidRDefault="00C11D36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C11D36" w:rsidRPr="00D17EE7" w:rsidRDefault="00C11D36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C11D36" w:rsidRPr="005E0EEE" w:rsidRDefault="00C11D36" w:rsidP="00726CB7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5E0EEE">
              <w:rPr>
                <w:bCs/>
                <w:color w:val="auto"/>
                <w:sz w:val="26"/>
                <w:szCs w:val="26"/>
              </w:rPr>
              <w:t>Державний фонд регіонального розвитку, обласний бюджет, місцевий бюджет</w:t>
            </w:r>
          </w:p>
        </w:tc>
      </w:tr>
      <w:tr w:rsidR="00C11D36" w:rsidRPr="00D17EE7" w:rsidTr="00406412">
        <w:tc>
          <w:tcPr>
            <w:tcW w:w="3970" w:type="dxa"/>
            <w:shd w:val="clear" w:color="auto" w:fill="FFFFFF"/>
          </w:tcPr>
          <w:p w:rsidR="00C11D36" w:rsidRPr="00D17EE7" w:rsidRDefault="00C11D36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C11D36" w:rsidRPr="00D17EE7" w:rsidRDefault="00C11D36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C11D36" w:rsidRPr="005E0EEE" w:rsidRDefault="00C11D36" w:rsidP="006E5FD3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5E0EEE">
              <w:rPr>
                <w:bCs/>
                <w:color w:val="auto"/>
                <w:sz w:val="26"/>
                <w:szCs w:val="26"/>
              </w:rPr>
              <w:t>Виконавчі комітети, райдержадміністрації, об’єднані територіальні громади, департамент економіки облдержадміністрації</w:t>
            </w:r>
          </w:p>
        </w:tc>
      </w:tr>
      <w:tr w:rsidR="00C11D36" w:rsidRPr="00367341" w:rsidTr="00406412">
        <w:tc>
          <w:tcPr>
            <w:tcW w:w="3970" w:type="dxa"/>
            <w:shd w:val="clear" w:color="auto" w:fill="FFFFFF"/>
          </w:tcPr>
          <w:p w:rsidR="00C11D36" w:rsidRPr="00076329" w:rsidRDefault="00C11D36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096" w:type="dxa"/>
            <w:gridSpan w:val="5"/>
          </w:tcPr>
          <w:p w:rsidR="00C11D36" w:rsidRPr="00367341" w:rsidRDefault="00C11D36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000945">
      <w:pPr>
        <w:ind w:right="-1"/>
        <w:jc w:val="both"/>
        <w:rPr>
          <w:rFonts w:eastAsia="Calibri"/>
          <w:color w:val="auto"/>
        </w:rPr>
      </w:pPr>
    </w:p>
    <w:sectPr w:rsidR="0012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6E0"/>
    <w:multiLevelType w:val="hybridMultilevel"/>
    <w:tmpl w:val="64B00D54"/>
    <w:lvl w:ilvl="0" w:tplc="53705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7CF7"/>
    <w:multiLevelType w:val="hybridMultilevel"/>
    <w:tmpl w:val="CCC2C258"/>
    <w:lvl w:ilvl="0" w:tplc="A9C8C6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F4D59"/>
    <w:multiLevelType w:val="hybridMultilevel"/>
    <w:tmpl w:val="17E899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96161"/>
    <w:multiLevelType w:val="hybridMultilevel"/>
    <w:tmpl w:val="FEDC0A2E"/>
    <w:lvl w:ilvl="0" w:tplc="86B2E1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00945"/>
    <w:rsid w:val="00012B47"/>
    <w:rsid w:val="001157BD"/>
    <w:rsid w:val="00116AB7"/>
    <w:rsid w:val="00122378"/>
    <w:rsid w:val="00136584"/>
    <w:rsid w:val="002474A8"/>
    <w:rsid w:val="0028056C"/>
    <w:rsid w:val="00300D4C"/>
    <w:rsid w:val="00315ECA"/>
    <w:rsid w:val="00346996"/>
    <w:rsid w:val="003575BA"/>
    <w:rsid w:val="00406412"/>
    <w:rsid w:val="00426E6B"/>
    <w:rsid w:val="00475577"/>
    <w:rsid w:val="004B5922"/>
    <w:rsid w:val="004C41C0"/>
    <w:rsid w:val="004C62FD"/>
    <w:rsid w:val="005039B4"/>
    <w:rsid w:val="00510AFA"/>
    <w:rsid w:val="00515AF5"/>
    <w:rsid w:val="0052660D"/>
    <w:rsid w:val="0054230E"/>
    <w:rsid w:val="00547E8D"/>
    <w:rsid w:val="00557E7E"/>
    <w:rsid w:val="005A5A26"/>
    <w:rsid w:val="005B4E7A"/>
    <w:rsid w:val="005E0EEE"/>
    <w:rsid w:val="0060431A"/>
    <w:rsid w:val="00681E36"/>
    <w:rsid w:val="006A3510"/>
    <w:rsid w:val="006B79DB"/>
    <w:rsid w:val="006C5F93"/>
    <w:rsid w:val="006E5FD3"/>
    <w:rsid w:val="006E70A2"/>
    <w:rsid w:val="00700374"/>
    <w:rsid w:val="007244F2"/>
    <w:rsid w:val="007576FF"/>
    <w:rsid w:val="007A7974"/>
    <w:rsid w:val="007B0838"/>
    <w:rsid w:val="007B4A7D"/>
    <w:rsid w:val="008237E5"/>
    <w:rsid w:val="00880C4E"/>
    <w:rsid w:val="008973A4"/>
    <w:rsid w:val="008C5365"/>
    <w:rsid w:val="00916E3B"/>
    <w:rsid w:val="0098016D"/>
    <w:rsid w:val="009A684C"/>
    <w:rsid w:val="009F3B43"/>
    <w:rsid w:val="00A367CC"/>
    <w:rsid w:val="00A61E05"/>
    <w:rsid w:val="00AD1419"/>
    <w:rsid w:val="00AF321A"/>
    <w:rsid w:val="00AF447C"/>
    <w:rsid w:val="00B217E8"/>
    <w:rsid w:val="00B627EE"/>
    <w:rsid w:val="00BB2B9D"/>
    <w:rsid w:val="00C11D36"/>
    <w:rsid w:val="00D14D3D"/>
    <w:rsid w:val="00D17EE7"/>
    <w:rsid w:val="00D305ED"/>
    <w:rsid w:val="00E04C38"/>
    <w:rsid w:val="00E2016E"/>
    <w:rsid w:val="00E22D75"/>
    <w:rsid w:val="00E474FA"/>
    <w:rsid w:val="00E71942"/>
    <w:rsid w:val="00E83519"/>
    <w:rsid w:val="00EA37E6"/>
    <w:rsid w:val="00EF351D"/>
    <w:rsid w:val="00F0605B"/>
    <w:rsid w:val="00F1534B"/>
    <w:rsid w:val="00F1791F"/>
    <w:rsid w:val="00F76C76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087-F58E-45CB-9E99-BCF74CFB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2491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RePack by Diakov</cp:lastModifiedBy>
  <cp:revision>23</cp:revision>
  <cp:lastPrinted>2016-04-22T08:13:00Z</cp:lastPrinted>
  <dcterms:created xsi:type="dcterms:W3CDTF">2016-04-19T15:54:00Z</dcterms:created>
  <dcterms:modified xsi:type="dcterms:W3CDTF">2017-02-20T14:57:00Z</dcterms:modified>
</cp:coreProperties>
</file>