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E8" w:rsidRPr="006F53A0" w:rsidRDefault="00FA26E8" w:rsidP="00FA26E8">
      <w:pPr>
        <w:shd w:val="clear" w:color="auto" w:fill="FFFFFF"/>
        <w:suppressAutoHyphens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6F5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>УМОВИ</w:t>
      </w:r>
    </w:p>
    <w:p w:rsidR="00FA26E8" w:rsidRPr="006F53A0" w:rsidRDefault="00FA26E8" w:rsidP="00FA26E8">
      <w:pPr>
        <w:shd w:val="clear" w:color="auto" w:fill="FFFFFF"/>
        <w:suppressAutoHyphens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</w:pPr>
      <w:r w:rsidRPr="006F5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>проведення конкурсу на зайняття вакантної посади державної служби категорії «Б» в апараті облдержадміністрації завідувача сектору кадрового менеджменту та з питань професійного зростання державних службовців управління кадрового забезпечення та з питань нагород облдержадміністрації</w:t>
      </w:r>
    </w:p>
    <w:tbl>
      <w:tblPr>
        <w:tblW w:w="9654" w:type="dxa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2597"/>
        <w:gridCol w:w="6526"/>
        <w:gridCol w:w="7"/>
      </w:tblGrid>
      <w:tr w:rsidR="00FA26E8" w:rsidRPr="006F53A0" w:rsidTr="00D96798">
        <w:tc>
          <w:tcPr>
            <w:tcW w:w="9654" w:type="dxa"/>
            <w:gridSpan w:val="4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  <w:t>Загальні умови</w:t>
            </w:r>
          </w:p>
        </w:tc>
      </w:tr>
      <w:tr w:rsidR="00FA26E8" w:rsidRPr="006F53A0" w:rsidTr="00D96798">
        <w:trPr>
          <w:gridAfter w:val="1"/>
          <w:wAfter w:w="7" w:type="dxa"/>
          <w:trHeight w:val="1847"/>
        </w:trPr>
        <w:tc>
          <w:tcPr>
            <w:tcW w:w="3121" w:type="dxa"/>
            <w:gridSpan w:val="2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Посадові обов’язки</w:t>
            </w:r>
          </w:p>
        </w:tc>
        <w:tc>
          <w:tcPr>
            <w:tcW w:w="6526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Узагальнює практику роботи з персоналом апарату облдержадміністрації, вносить начальнику управління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 </w:t>
            </w:r>
            <w:r w:rsidRPr="006F53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кадрового забезпечення та з питань нагород облдержадміністрації (далі - управління)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пропозиції щодо її вдосконалення;</w:t>
            </w:r>
          </w:p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в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изначає та узагальнює потреби державних службовців у підготовці та підвищенні кваліфікації і вносить пропозиції начальнику управління;</w:t>
            </w:r>
          </w:p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г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отує матеріали щодо відбору осіб на навчання до Національної академії державного управління при Президентові України та її регіональних інститутів, складає списки осіб, рекомендованих на навчання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,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і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подає їх начальнику управління;</w:t>
            </w:r>
          </w:p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з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дійснює моніторинг працевлаштування та перебування на державній службі магістрів за спеціальністю «Публічне управління та адміністрування» галузі знань «Публічне управління та адміністрування» за державним замовленням;</w:t>
            </w:r>
          </w:p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з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абезпечує виконання графіків підвищення рівня професійної компетенції державних службовців апарату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, 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структурних підрозділів облдержадміністрації та райдержадміністрацій, на яких покладені  обов’язки з організації роботи щодо запобігання проявам корупції в органах виконавчої влади;</w:t>
            </w:r>
          </w:p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організовує проведення внутрішніх навчань державних службовців апарату облдержадміністрації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;</w:t>
            </w:r>
          </w:p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н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адає консультативну допомогу учасникам щорічного оцінювання та здійснює заходи щодо організації процесу оцінювання, у тому числі готує проекти наказів (розпоряджень) суб’єкта призначення про проведення щорічного оцінювання та про затвердження результатів оцінювання із списком державних службовців, оцінка яких проводиться, та 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lastRenderedPageBreak/>
              <w:t>списком державних службовців, які підлягають преміюванню, із зазначенням розміру такого преміювання.</w:t>
            </w:r>
          </w:p>
        </w:tc>
      </w:tr>
      <w:tr w:rsidR="00FA26E8" w:rsidRPr="006F53A0" w:rsidTr="00D96798">
        <w:trPr>
          <w:gridAfter w:val="1"/>
          <w:wAfter w:w="7" w:type="dxa"/>
        </w:trPr>
        <w:tc>
          <w:tcPr>
            <w:tcW w:w="3121" w:type="dxa"/>
            <w:gridSpan w:val="2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lastRenderedPageBreak/>
              <w:t>Умови оплати праці</w:t>
            </w:r>
          </w:p>
        </w:tc>
        <w:tc>
          <w:tcPr>
            <w:tcW w:w="6526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Antiqua" w:eastAsia="Calibri" w:hAnsi="Antiqua" w:cs="Antiqua"/>
                <w:color w:val="00000A"/>
                <w:sz w:val="28"/>
                <w:szCs w:val="28"/>
                <w:lang w:val="uk-UA"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посадовий оклад – 5400 грн., 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надбавка за вислугу років, надбавка за ранг державного службовця, 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/>
              </w:rPr>
              <w:t>премія встановлюється індивідуально в залежності від результатів роботи за місяць або за квартал</w:t>
            </w:r>
          </w:p>
        </w:tc>
      </w:tr>
      <w:tr w:rsidR="00FA26E8" w:rsidRPr="006F53A0" w:rsidTr="00D96798">
        <w:trPr>
          <w:gridAfter w:val="1"/>
          <w:wAfter w:w="7" w:type="dxa"/>
        </w:trPr>
        <w:tc>
          <w:tcPr>
            <w:tcW w:w="3121" w:type="dxa"/>
            <w:gridSpan w:val="2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6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безстрокове призначення на посаду</w:t>
            </w:r>
          </w:p>
        </w:tc>
      </w:tr>
      <w:tr w:rsidR="00FA26E8" w:rsidRPr="006F53A0" w:rsidTr="00D96798">
        <w:trPr>
          <w:gridAfter w:val="1"/>
          <w:wAfter w:w="7" w:type="dxa"/>
        </w:trPr>
        <w:tc>
          <w:tcPr>
            <w:tcW w:w="3121" w:type="dxa"/>
            <w:gridSpan w:val="2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Перелік до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кументів, необхідних 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 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для участі в конкурсі, та строк їх  подання</w:t>
            </w:r>
          </w:p>
        </w:tc>
        <w:tc>
          <w:tcPr>
            <w:tcW w:w="6526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bookmarkStart w:id="0" w:name="95"/>
            <w:bookmarkEnd w:id="0"/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копія паспорта громадянина України;</w:t>
            </w:r>
          </w:p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bookmarkStart w:id="1" w:name="96"/>
            <w:bookmarkEnd w:id="1"/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письмова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заява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участь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конкурсі із зазначенням основних мотивів 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щодо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зайняття посади 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державної служби 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 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встановленою 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формою, до якої додається резюме у довільній формі;</w:t>
            </w:r>
          </w:p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bookmarkStart w:id="2" w:name="97"/>
            <w:bookmarkEnd w:id="2"/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письмова заява, в якій особа повідомляє про те, що до неї не застосовуються заборони, визначені частиною третьою або четветою статті 1 Закону Україи «Про очищення влади»,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копія (копії) документа (документів) про освіту;</w:t>
            </w:r>
          </w:p>
          <w:p w:rsidR="00FA26E8" w:rsidRPr="006F53A0" w:rsidRDefault="00FA26E8" w:rsidP="00D96798">
            <w:p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bookmarkStart w:id="3" w:name="99"/>
            <w:bookmarkEnd w:id="3"/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 посвідчення, а оригінал</w:t>
            </w:r>
            <w:r w:rsidRPr="006F53A0">
              <w:rPr>
                <w:rFonts w:ascii="Times New Roman" w:eastAsia="Times New Roman" w:hAnsi="Times New Roman" w:cs="Times New Roman"/>
                <w:color w:val="2A2928"/>
                <w:sz w:val="28"/>
                <w:szCs w:val="28"/>
                <w:lang w:val="uk-UA" w:eastAsia="zh-CN"/>
              </w:rPr>
              <w:t xml:space="preserve"> обов'язково 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пред'являється до проходження тестування);</w:t>
            </w:r>
          </w:p>
          <w:p w:rsidR="00FA26E8" w:rsidRPr="006F53A0" w:rsidRDefault="00FA26E8" w:rsidP="00D96798">
            <w:p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bookmarkStart w:id="4" w:name="100"/>
            <w:bookmarkEnd w:id="4"/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заповнена особова картка встановленого зразка;</w:t>
            </w:r>
          </w:p>
          <w:p w:rsidR="00FA26E8" w:rsidRPr="006F53A0" w:rsidRDefault="00FA26E8" w:rsidP="00D96798">
            <w:p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декларація особи, уповноваженої на виконання функцій держави або місцевого самоврядування, за минулий рік;</w:t>
            </w:r>
          </w:p>
          <w:p w:rsidR="00FA26E8" w:rsidRPr="006F53A0" w:rsidRDefault="00FA26E8" w:rsidP="00D96798">
            <w:pPr>
              <w:suppressAutoHyphens/>
              <w:spacing w:before="120" w:after="120" w:line="240" w:lineRule="auto"/>
              <w:jc w:val="both"/>
              <w:textAlignment w:val="baseline"/>
              <w:rPr>
                <w:rFonts w:ascii="Antiqua" w:eastAsia="Calibri" w:hAnsi="Antiqua" w:cs="Antiqua"/>
                <w:color w:val="00000A"/>
                <w:sz w:val="28"/>
                <w:szCs w:val="28"/>
                <w:lang w:val="uk-UA" w:eastAsia="zh-CN"/>
              </w:rPr>
            </w:pPr>
            <w:r w:rsidRPr="006F53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Строк подання документів -</w:t>
            </w:r>
            <w:r w:rsidRPr="006F53A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6F53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 календарних днів з дня публікації на офіційному сайті НАДС</w:t>
            </w:r>
          </w:p>
        </w:tc>
      </w:tr>
      <w:tr w:rsidR="00FA26E8" w:rsidRPr="006F53A0" w:rsidTr="00D96798">
        <w:trPr>
          <w:gridAfter w:val="1"/>
          <w:wAfter w:w="7" w:type="dxa"/>
        </w:trPr>
        <w:tc>
          <w:tcPr>
            <w:tcW w:w="3121" w:type="dxa"/>
            <w:gridSpan w:val="2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eastAsia="zh-CN"/>
              </w:rPr>
              <w:lastRenderedPageBreak/>
              <w:br w:type="page"/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Місце, час та дата проведення конкурсу</w:t>
            </w:r>
          </w:p>
        </w:tc>
        <w:tc>
          <w:tcPr>
            <w:tcW w:w="6526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 червня 2018 року,  початок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б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11.00,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 за адресою:      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м.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 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Краматорськ, вул.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 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Олекси Тихого,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 6</w:t>
            </w:r>
          </w:p>
        </w:tc>
      </w:tr>
      <w:tr w:rsidR="00FA26E8" w:rsidRPr="006F53A0" w:rsidTr="00D96798">
        <w:trPr>
          <w:gridAfter w:val="1"/>
          <w:wAfter w:w="7" w:type="dxa"/>
        </w:trPr>
        <w:tc>
          <w:tcPr>
            <w:tcW w:w="3121" w:type="dxa"/>
            <w:gridSpan w:val="2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26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Самсоненко Наталя Володимирівна</w:t>
            </w:r>
          </w:p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 тел. (06264) 2-04-59</w:t>
            </w:r>
          </w:p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ел. пошта 00446@dn.gov.ua</w:t>
            </w:r>
          </w:p>
        </w:tc>
      </w:tr>
      <w:tr w:rsidR="00FA26E8" w:rsidRPr="006F53A0" w:rsidTr="00D96798">
        <w:tc>
          <w:tcPr>
            <w:tcW w:w="9654" w:type="dxa"/>
            <w:gridSpan w:val="4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  <w:t>Кваліфікаційні  вимоги</w:t>
            </w:r>
          </w:p>
        </w:tc>
      </w:tr>
      <w:tr w:rsidR="00FA26E8" w:rsidRPr="006F53A0" w:rsidTr="00D96798">
        <w:trPr>
          <w:gridAfter w:val="1"/>
          <w:wAfter w:w="7" w:type="dxa"/>
        </w:trPr>
        <w:tc>
          <w:tcPr>
            <w:tcW w:w="524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1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Освіта</w:t>
            </w:r>
          </w:p>
        </w:tc>
        <w:tc>
          <w:tcPr>
            <w:tcW w:w="6526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вища освіта не нижче ступеня магістра (спеціаліста) у галузі знань «Публічне управління та адміністрування» (спеціальність «Публічне управління та адміністрування») </w:t>
            </w:r>
          </w:p>
        </w:tc>
      </w:tr>
      <w:tr w:rsidR="00FA26E8" w:rsidRPr="006F53A0" w:rsidTr="00D96798">
        <w:trPr>
          <w:gridAfter w:val="1"/>
          <w:wAfter w:w="7" w:type="dxa"/>
        </w:trPr>
        <w:tc>
          <w:tcPr>
            <w:tcW w:w="524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2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Досвід роботи</w:t>
            </w:r>
          </w:p>
        </w:tc>
        <w:tc>
          <w:tcPr>
            <w:tcW w:w="6526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двох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років</w:t>
            </w:r>
          </w:p>
        </w:tc>
      </w:tr>
      <w:tr w:rsidR="00FA26E8" w:rsidRPr="006F53A0" w:rsidTr="00D96798">
        <w:trPr>
          <w:gridAfter w:val="1"/>
          <w:wAfter w:w="7" w:type="dxa"/>
        </w:trPr>
        <w:tc>
          <w:tcPr>
            <w:tcW w:w="524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3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Володіння державною мовою</w:t>
            </w:r>
          </w:p>
        </w:tc>
        <w:tc>
          <w:tcPr>
            <w:tcW w:w="6526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вільно</w:t>
            </w:r>
          </w:p>
        </w:tc>
      </w:tr>
      <w:tr w:rsidR="00FA26E8" w:rsidRPr="006F53A0" w:rsidTr="00D96798">
        <w:tc>
          <w:tcPr>
            <w:tcW w:w="9654" w:type="dxa"/>
            <w:gridSpan w:val="4"/>
            <w:shd w:val="clear" w:color="auto" w:fill="auto"/>
          </w:tcPr>
          <w:p w:rsidR="00FA26E8" w:rsidRDefault="00FA26E8" w:rsidP="00D96798">
            <w:pPr>
              <w:suppressAutoHyphens/>
              <w:spacing w:before="136" w:after="13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uk-UA" w:eastAsia="zh-CN"/>
              </w:rPr>
            </w:pPr>
          </w:p>
          <w:p w:rsidR="00FA26E8" w:rsidRPr="006F53A0" w:rsidRDefault="00FA26E8" w:rsidP="00D96798">
            <w:pPr>
              <w:suppressAutoHyphens/>
              <w:spacing w:before="136" w:after="13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</w:pPr>
            <w:r w:rsidRPr="006F53A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uk-UA" w:eastAsia="zh-CN"/>
              </w:rPr>
              <w:t xml:space="preserve">Вимоги до </w:t>
            </w:r>
            <w:r w:rsidRPr="006F53A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  <w:t xml:space="preserve">компетентності </w:t>
            </w:r>
          </w:p>
        </w:tc>
      </w:tr>
      <w:tr w:rsidR="00FA26E8" w:rsidRPr="006F53A0" w:rsidTr="00D96798">
        <w:trPr>
          <w:gridAfter w:val="1"/>
          <w:wAfter w:w="7" w:type="dxa"/>
        </w:trPr>
        <w:tc>
          <w:tcPr>
            <w:tcW w:w="3121" w:type="dxa"/>
            <w:gridSpan w:val="2"/>
            <w:shd w:val="clear" w:color="auto" w:fill="auto"/>
          </w:tcPr>
          <w:p w:rsidR="00FA26E8" w:rsidRDefault="00FA26E8" w:rsidP="00D96798">
            <w:pPr>
              <w:suppressAutoHyphens/>
              <w:spacing w:before="136" w:after="13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</w:pPr>
          </w:p>
          <w:p w:rsidR="00FA26E8" w:rsidRPr="006F53A0" w:rsidRDefault="00FA26E8" w:rsidP="00D96798">
            <w:pPr>
              <w:suppressAutoHyphens/>
              <w:spacing w:before="136" w:after="13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  <w:t>Вимога</w:t>
            </w:r>
          </w:p>
        </w:tc>
        <w:tc>
          <w:tcPr>
            <w:tcW w:w="6526" w:type="dxa"/>
            <w:shd w:val="clear" w:color="auto" w:fill="auto"/>
          </w:tcPr>
          <w:p w:rsidR="00FA26E8" w:rsidRDefault="00FA26E8" w:rsidP="00D96798">
            <w:pPr>
              <w:suppressAutoHyphens/>
              <w:spacing w:before="136" w:after="13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</w:pPr>
          </w:p>
          <w:p w:rsidR="00FA26E8" w:rsidRPr="006F53A0" w:rsidRDefault="00FA26E8" w:rsidP="00D96798">
            <w:pPr>
              <w:suppressAutoHyphens/>
              <w:spacing w:before="136" w:after="13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  <w:t>Компон</w:t>
            </w:r>
            <w:r w:rsidRPr="006F53A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uk-UA" w:eastAsia="zh-CN"/>
              </w:rPr>
              <w:t>ен</w:t>
            </w:r>
            <w:r w:rsidRPr="006F53A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  <w:t>ти вимоги</w:t>
            </w:r>
          </w:p>
        </w:tc>
      </w:tr>
      <w:tr w:rsidR="00FA26E8" w:rsidRPr="006F53A0" w:rsidTr="00D96798">
        <w:trPr>
          <w:gridAfter w:val="1"/>
          <w:wAfter w:w="7" w:type="dxa"/>
          <w:trHeight w:val="859"/>
        </w:trPr>
        <w:tc>
          <w:tcPr>
            <w:tcW w:w="524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2597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Лідерство</w:t>
            </w:r>
          </w:p>
        </w:tc>
        <w:tc>
          <w:tcPr>
            <w:tcW w:w="6526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ведення ділових переговорів;</w:t>
            </w:r>
          </w:p>
          <w:p w:rsidR="00FA26E8" w:rsidRPr="006F53A0" w:rsidRDefault="00FA26E8" w:rsidP="00D967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вміння обгрунтувати власну позицію;</w:t>
            </w:r>
          </w:p>
          <w:p w:rsidR="00FA26E8" w:rsidRPr="006F53A0" w:rsidRDefault="00FA26E8" w:rsidP="00D967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досягнення кінцевих результатів</w:t>
            </w:r>
          </w:p>
        </w:tc>
      </w:tr>
      <w:tr w:rsidR="00FA26E8" w:rsidRPr="006F53A0" w:rsidTr="00D96798">
        <w:trPr>
          <w:gridAfter w:val="1"/>
          <w:wAfter w:w="7" w:type="dxa"/>
          <w:trHeight w:val="1169"/>
        </w:trPr>
        <w:tc>
          <w:tcPr>
            <w:tcW w:w="524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  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2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Прийняття ефективних рішень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FA26E8" w:rsidRPr="006F53A0" w:rsidRDefault="00FA26E8" w:rsidP="00D96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вміння вирішувати комплексні завдання;</w:t>
            </w:r>
          </w:p>
          <w:p w:rsidR="00FA26E8" w:rsidRPr="006F53A0" w:rsidRDefault="00FA26E8" w:rsidP="00D96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вміння працювати з великими масивами інформації;</w:t>
            </w:r>
          </w:p>
          <w:p w:rsidR="00FA26E8" w:rsidRPr="006F53A0" w:rsidRDefault="00FA26E8" w:rsidP="00D96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вміння працювати при багатозадачності;</w:t>
            </w:r>
          </w:p>
          <w:p w:rsidR="00FA26E8" w:rsidRPr="006F53A0" w:rsidRDefault="00FA26E8" w:rsidP="00D96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встановлення цілей, пріоритетів та орієнтирів</w:t>
            </w:r>
          </w:p>
        </w:tc>
      </w:tr>
      <w:tr w:rsidR="00FA26E8" w:rsidRPr="006F53A0" w:rsidTr="00D96798">
        <w:tc>
          <w:tcPr>
            <w:tcW w:w="9654" w:type="dxa"/>
            <w:gridSpan w:val="4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  <w:t>Професійні знання</w:t>
            </w:r>
          </w:p>
        </w:tc>
      </w:tr>
      <w:tr w:rsidR="00FA26E8" w:rsidRPr="006F53A0" w:rsidTr="00D96798">
        <w:trPr>
          <w:gridAfter w:val="1"/>
          <w:wAfter w:w="7" w:type="dxa"/>
        </w:trPr>
        <w:tc>
          <w:tcPr>
            <w:tcW w:w="3121" w:type="dxa"/>
            <w:gridSpan w:val="2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  <w:t>Вимоги</w:t>
            </w:r>
          </w:p>
        </w:tc>
        <w:tc>
          <w:tcPr>
            <w:tcW w:w="6526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before="136" w:after="136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  <w:t>Компон</w:t>
            </w:r>
            <w:r w:rsidRPr="006F53A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uk-UA" w:eastAsia="zh-CN"/>
              </w:rPr>
              <w:t>ен</w:t>
            </w:r>
            <w:r w:rsidRPr="006F53A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  <w:t>ти вимоги</w:t>
            </w:r>
          </w:p>
        </w:tc>
      </w:tr>
      <w:tr w:rsidR="00FA26E8" w:rsidRPr="006F53A0" w:rsidTr="00D96798">
        <w:trPr>
          <w:gridAfter w:val="1"/>
          <w:wAfter w:w="7" w:type="dxa"/>
          <w:trHeight w:val="1730"/>
        </w:trPr>
        <w:tc>
          <w:tcPr>
            <w:tcW w:w="524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lastRenderedPageBreak/>
              <w:t>1.</w:t>
            </w:r>
          </w:p>
        </w:tc>
        <w:tc>
          <w:tcPr>
            <w:tcW w:w="2597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Знання законодавства</w:t>
            </w:r>
          </w:p>
        </w:tc>
        <w:tc>
          <w:tcPr>
            <w:tcW w:w="6526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знання:</w:t>
            </w:r>
          </w:p>
          <w:p w:rsidR="00FA26E8" w:rsidRPr="006F53A0" w:rsidRDefault="00FA26E8" w:rsidP="00D96798">
            <w:pPr>
              <w:suppressAutoHyphens/>
              <w:spacing w:after="0" w:line="240" w:lineRule="auto"/>
              <w:ind w:hanging="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hyperlink r:id="rId4" w:history="1">
              <w:r w:rsidRPr="006F53A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zh-CN"/>
                </w:rPr>
                <w:t>Конституції України</w:t>
              </w:r>
            </w:hyperlink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; </w:t>
            </w:r>
            <w:hyperlink r:id="rId5" w:history="1">
              <w:r w:rsidRPr="006F53A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zh-CN"/>
                </w:rPr>
                <w:t>законів України</w:t>
              </w:r>
            </w:hyperlink>
            <w:r w:rsidRPr="006F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«Про державну службу»; «Про запобігання корупції», «Про місцеві державні адміністрації», «Про військово-цивільні адміністрації»</w:t>
            </w:r>
          </w:p>
        </w:tc>
      </w:tr>
      <w:tr w:rsidR="00FA26E8" w:rsidRPr="00FA26E8" w:rsidTr="00D96798">
        <w:trPr>
          <w:gridAfter w:val="1"/>
          <w:wAfter w:w="7" w:type="dxa"/>
          <w:trHeight w:val="893"/>
        </w:trPr>
        <w:tc>
          <w:tcPr>
            <w:tcW w:w="524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2597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Знання спеціального </w:t>
            </w:r>
          </w:p>
          <w:p w:rsidR="00FA26E8" w:rsidRPr="006F53A0" w:rsidRDefault="00FA26E8" w:rsidP="00D96798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законодавства, що пов’язане із завданями та змістом роботи державного службовця відповідно до посадової інструкції </w:t>
            </w:r>
          </w:p>
        </w:tc>
        <w:tc>
          <w:tcPr>
            <w:tcW w:w="6526" w:type="dxa"/>
            <w:shd w:val="clear" w:color="auto" w:fill="auto"/>
          </w:tcPr>
          <w:p w:rsidR="00FA26E8" w:rsidRPr="006F53A0" w:rsidRDefault="00FA26E8" w:rsidP="00D96798">
            <w:pPr>
              <w:suppressAutoHyphens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знання:</w:t>
            </w:r>
          </w:p>
          <w:p w:rsidR="00FA26E8" w:rsidRPr="006F53A0" w:rsidRDefault="00FA26E8" w:rsidP="00D96798">
            <w:pPr>
              <w:suppressAutoHyphens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постанов Кабінету Мініст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рів України                             від 29 липня 2009 року № 789 «Про затвердження Порядку прийому на навчання за освітньо-професійною програмою підготовки магістрів за спеціальністю "Публічне управління та адміністрування" галузі знань "Публічне управління та адміністрування" (із змінами), від                            01 квітня 2013 року № 255 «Про затвердження положень про прийом, стажування в органах державної влади і органах місцевого самоврядування слухачів Національної академії державного управління при Президентові України, а також переліку органів державної влади, органів місцевого самоврядування, в яких проводиться у 2013-2018 роках стажування слухачів Національної академії» (із змінами);</w:t>
            </w:r>
          </w:p>
          <w:p w:rsidR="00FA26E8" w:rsidRPr="006F53A0" w:rsidRDefault="00FA26E8" w:rsidP="00D96798">
            <w:pPr>
              <w:suppressAutoHyphens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розпорядження Кабінету Міністрів України                 від 10 травня 2018 року № 342-р «Про затвердження плану заходів щодо реалізації Концепції реформування системи професійного навчання державних службовців, голів місцевих держадміністрацій, їх перших заступників та заступників, посадових осіб місцевого самоврядування та депутатів місцевих рад»;</w:t>
            </w:r>
          </w:p>
          <w:p w:rsidR="00FA26E8" w:rsidRPr="006F53A0" w:rsidRDefault="00FA26E8" w:rsidP="00D96798">
            <w:pPr>
              <w:suppressAutoHyphens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</w:pP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Типової інструкції з діловодства в міністерствах, інших центральних та місцевих органах виконавчої влади, затвердженої постановою Кабінету Міністрів України від 17 січня 2018 року № 55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 xml:space="preserve"> «</w:t>
            </w:r>
            <w:r w:rsidRPr="006F53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Деякі питання документування управлінської діяльності».</w:t>
            </w:r>
          </w:p>
        </w:tc>
      </w:tr>
    </w:tbl>
    <w:p w:rsidR="00FA26E8" w:rsidRPr="00333D93" w:rsidRDefault="00FA26E8" w:rsidP="00FA26E8">
      <w:pPr>
        <w:spacing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D1C4D" w:rsidRPr="00FA26E8" w:rsidRDefault="00FA26E8">
      <w:pPr>
        <w:rPr>
          <w:lang w:val="uk-UA"/>
        </w:rPr>
      </w:pPr>
      <w:bookmarkStart w:id="5" w:name="_GoBack"/>
      <w:bookmarkEnd w:id="5"/>
    </w:p>
    <w:sectPr w:rsidR="00AD1C4D" w:rsidRPr="00FA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20"/>
    <w:rsid w:val="00346320"/>
    <w:rsid w:val="0056715C"/>
    <w:rsid w:val="005D58EC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3B1C1-72D5-471F-A281-6CB15B7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889-19" TargetMode="External"/><Relationship Id="rId4" Type="http://schemas.openxmlformats.org/officeDocument/2006/relationships/hyperlink" Target="http://zakon0.rada.gov.ua/laws/show/254&#1082;/96-&#1074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DonODA</dc:creator>
  <cp:keywords/>
  <dc:description/>
  <cp:lastModifiedBy>DonODA</cp:lastModifiedBy>
  <cp:revision>2</cp:revision>
  <dcterms:created xsi:type="dcterms:W3CDTF">2018-06-04T13:39:00Z</dcterms:created>
  <dcterms:modified xsi:type="dcterms:W3CDTF">2018-06-04T13:39:00Z</dcterms:modified>
</cp:coreProperties>
</file>