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04" w:rsidRPr="002D2DDC" w:rsidRDefault="00A36204" w:rsidP="00A3620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2D2DDC">
        <w:rPr>
          <w:sz w:val="26"/>
          <w:szCs w:val="26"/>
          <w:lang w:val="uk-UA"/>
        </w:rPr>
        <w:t>Умови проведення конкурсу</w:t>
      </w:r>
    </w:p>
    <w:p w:rsidR="00A36204" w:rsidRPr="002D2DDC" w:rsidRDefault="00A36204" w:rsidP="00A3620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2D2DDC">
        <w:rPr>
          <w:sz w:val="26"/>
          <w:szCs w:val="26"/>
          <w:lang w:val="uk-UA"/>
        </w:rPr>
        <w:t>на зайняття посади державної служби категорія «В»</w:t>
      </w:r>
    </w:p>
    <w:p w:rsidR="00A36204" w:rsidRPr="002D2DDC" w:rsidRDefault="00A36204" w:rsidP="00A3620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головний </w:t>
      </w:r>
      <w:r w:rsidRPr="002D2DDC">
        <w:rPr>
          <w:sz w:val="26"/>
          <w:szCs w:val="26"/>
          <w:lang w:val="uk-UA"/>
        </w:rPr>
        <w:t xml:space="preserve">спеціаліст відділу фінансування та звітності планово-фінансового управління </w:t>
      </w:r>
      <w:r w:rsidRPr="002D2DDC">
        <w:rPr>
          <w:bCs/>
          <w:sz w:val="26"/>
          <w:szCs w:val="26"/>
          <w:lang w:val="uk-UA"/>
        </w:rPr>
        <w:t>департаменту капітального будівництва Донецької облдержадміністрації</w:t>
      </w:r>
    </w:p>
    <w:p w:rsidR="00A36204" w:rsidRPr="002D2DDC" w:rsidRDefault="00A36204" w:rsidP="00A36204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sz w:val="26"/>
          <w:szCs w:val="26"/>
          <w:lang w:val="uk-UA"/>
        </w:rPr>
      </w:pPr>
    </w:p>
    <w:tbl>
      <w:tblPr>
        <w:tblW w:w="512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81"/>
        <w:gridCol w:w="1262"/>
        <w:gridCol w:w="142"/>
        <w:gridCol w:w="424"/>
        <w:gridCol w:w="868"/>
        <w:gridCol w:w="1117"/>
        <w:gridCol w:w="567"/>
        <w:gridCol w:w="4760"/>
        <w:gridCol w:w="94"/>
        <w:gridCol w:w="49"/>
      </w:tblGrid>
      <w:tr w:rsidR="00A36204" w:rsidRPr="002D2DDC" w:rsidTr="009E5755">
        <w:trPr>
          <w:gridAfter w:val="2"/>
          <w:wAfter w:w="143" w:type="dxa"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Посадові обов’язки:</w:t>
            </w:r>
          </w:p>
        </w:tc>
        <w:tc>
          <w:tcPr>
            <w:tcW w:w="7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tabs>
                <w:tab w:val="left" w:pos="7395"/>
              </w:tabs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Складання звітності в органи державної казначейської служби України, робота з питань фінансування капітальних вкладень з розпорядниками нижчого рівня та одержувачами коштів, складання кошторисів та зміни до них по затвердженим бюджетним програмам </w:t>
            </w:r>
          </w:p>
        </w:tc>
      </w:tr>
      <w:tr w:rsidR="00A36204" w:rsidRPr="002D2DDC" w:rsidTr="009E5755"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Умови оплати праці:</w:t>
            </w:r>
          </w:p>
        </w:tc>
        <w:tc>
          <w:tcPr>
            <w:tcW w:w="7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A36204">
            <w:pPr>
              <w:pStyle w:val="rvps2"/>
              <w:shd w:val="clear" w:color="auto" w:fill="FFFFFF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посадовий оклад </w:t>
            </w:r>
            <w:r>
              <w:rPr>
                <w:sz w:val="26"/>
                <w:szCs w:val="26"/>
                <w:lang w:val="uk-UA"/>
              </w:rPr>
              <w:t>48</w:t>
            </w:r>
            <w:r w:rsidRPr="002D2DDC">
              <w:rPr>
                <w:sz w:val="26"/>
                <w:szCs w:val="26"/>
                <w:lang w:val="uk-UA"/>
              </w:rPr>
              <w:t>00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A36204" w:rsidRPr="002D2DDC" w:rsidTr="009E5755"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Інформація про строковість чи </w:t>
            </w:r>
          </w:p>
          <w:p w:rsidR="00A36204" w:rsidRPr="002D2DDC" w:rsidRDefault="00A36204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безстроковість призначення на посаду:</w:t>
            </w:r>
          </w:p>
        </w:tc>
        <w:tc>
          <w:tcPr>
            <w:tcW w:w="4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Безстрокове призначення на вакантну посаду</w:t>
            </w:r>
          </w:p>
        </w:tc>
      </w:tr>
      <w:tr w:rsidR="00A36204" w:rsidRPr="002D2DDC" w:rsidTr="009E5755">
        <w:trPr>
          <w:gridAfter w:val="2"/>
          <w:wAfter w:w="143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Перелік документів, необхідних для участі в конкурсі, та строк їх подання: </w:t>
            </w: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Дата, час і місце проведення конкурсу</w:t>
            </w:r>
          </w:p>
        </w:tc>
        <w:tc>
          <w:tcPr>
            <w:tcW w:w="78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1) копію паспорта громадянина України;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 заборони,   визначені   частиною   </w:t>
            </w:r>
            <w:hyperlink r:id="rId6" w:anchor="n13" w:tgtFrame="_blank" w:history="1">
              <w:r w:rsidRPr="002D2DDC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2D2DDC">
              <w:rPr>
                <w:sz w:val="26"/>
                <w:szCs w:val="26"/>
                <w:lang w:val="uk-UA"/>
              </w:rPr>
              <w:t> </w:t>
            </w:r>
            <w:r w:rsidRPr="002D2DDC">
              <w:rPr>
                <w:color w:val="000000"/>
                <w:sz w:val="26"/>
                <w:szCs w:val="26"/>
                <w:lang w:val="uk-UA"/>
              </w:rPr>
              <w:t xml:space="preserve"> або 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A36204" w:rsidRPr="002D2DDC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2D2DDC">
              <w:rPr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A36204" w:rsidRPr="00A36204" w:rsidRDefault="00A3620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</w:p>
          <w:p w:rsidR="00A36204" w:rsidRPr="002D2DDC" w:rsidRDefault="00A36204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Термін прийняття документів – 15</w:t>
            </w:r>
            <w:r w:rsidRPr="002D2DDC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2D2DDC">
              <w:rPr>
                <w:rStyle w:val="a4"/>
                <w:b w:val="0"/>
                <w:sz w:val="26"/>
                <w:szCs w:val="26"/>
                <w:lang w:val="uk-UA"/>
              </w:rPr>
              <w:t>календарних днів</w:t>
            </w:r>
            <w:r w:rsidRPr="002D2DDC">
              <w:rPr>
                <w:sz w:val="26"/>
                <w:szCs w:val="26"/>
                <w:lang w:val="uk-UA"/>
              </w:rPr>
              <w:t xml:space="preserve"> з дня оголошення про проведення конкурсу </w:t>
            </w:r>
          </w:p>
          <w:p w:rsidR="00A36204" w:rsidRPr="00A36204" w:rsidRDefault="00A3620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36204" w:rsidRDefault="00A3620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 квітня</w:t>
            </w:r>
            <w:r w:rsidRPr="002D2DDC">
              <w:rPr>
                <w:sz w:val="26"/>
                <w:szCs w:val="26"/>
                <w:lang w:val="uk-UA"/>
              </w:rPr>
              <w:t xml:space="preserve"> 2018 року о 12:00 год. за адресою: </w:t>
            </w:r>
            <w:r w:rsidRPr="002D2DDC">
              <w:rPr>
                <w:sz w:val="26"/>
                <w:szCs w:val="26"/>
                <w:lang w:val="uk-UA"/>
              </w:rPr>
              <w:br/>
              <w:t xml:space="preserve">вул. Ярослава Мудрого,9, місто Слов’янськ, Донецька область </w:t>
            </w:r>
          </w:p>
          <w:p w:rsidR="00A36204" w:rsidRDefault="00A3620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A36204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A36204" w:rsidRPr="00A36204" w:rsidTr="009E5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43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204" w:rsidRPr="002D2DDC" w:rsidRDefault="00A36204" w:rsidP="009E5755">
            <w:pPr>
              <w:pStyle w:val="rvps12"/>
              <w:jc w:val="both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5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204" w:rsidRPr="002D2DDC" w:rsidRDefault="00A36204" w:rsidP="00A36204">
            <w:pPr>
              <w:pStyle w:val="rvps1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D2DDC">
              <w:rPr>
                <w:sz w:val="26"/>
                <w:szCs w:val="26"/>
                <w:lang w:val="uk-UA"/>
              </w:rPr>
              <w:t>Кравченко Наталія Вікторівна</w:t>
            </w:r>
          </w:p>
          <w:p w:rsidR="00A36204" w:rsidRDefault="00A36204" w:rsidP="00A36204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тел.: (093)2682037,</w:t>
            </w:r>
          </w:p>
          <w:p w:rsidR="00A36204" w:rsidRPr="002D2DDC" w:rsidRDefault="00A36204" w:rsidP="00A36204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shd w:val="clear" w:color="auto" w:fill="FFFFFF"/>
                <w:lang w:val="uk-UA"/>
              </w:rPr>
              <w:t xml:space="preserve">email: </w:t>
            </w:r>
            <w:r w:rsidRPr="002D2DDC">
              <w:rPr>
                <w:sz w:val="26"/>
                <w:szCs w:val="26"/>
                <w:shd w:val="clear" w:color="auto" w:fill="FFFFFF"/>
                <w:lang w:val="en-US"/>
              </w:rPr>
              <w:t>bud</w:t>
            </w:r>
            <w:r w:rsidRPr="002D2DDC">
              <w:rPr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2D2DDC">
              <w:rPr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A36204">
              <w:rPr>
                <w:sz w:val="26"/>
                <w:szCs w:val="26"/>
                <w:shd w:val="clear" w:color="auto" w:fill="FFFFFF"/>
                <w:lang w:val="en-US"/>
              </w:rPr>
              <w:t>@</w:t>
            </w:r>
            <w:r w:rsidRPr="002D2DDC">
              <w:rPr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A36204">
              <w:rPr>
                <w:sz w:val="26"/>
                <w:szCs w:val="26"/>
                <w:shd w:val="clear" w:color="auto" w:fill="FFFFFF"/>
                <w:lang w:val="en-US"/>
              </w:rPr>
              <w:t>.</w:t>
            </w:r>
            <w:r w:rsidRPr="002D2DDC">
              <w:rPr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A36204">
              <w:rPr>
                <w:sz w:val="26"/>
                <w:szCs w:val="26"/>
                <w:shd w:val="clear" w:color="auto" w:fill="FFFFFF"/>
                <w:lang w:val="en-US"/>
              </w:rPr>
              <w:t>.</w:t>
            </w:r>
            <w:r w:rsidRPr="002D2DDC">
              <w:rPr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A36204" w:rsidRPr="002D2DDC" w:rsidTr="009E5755">
        <w:trPr>
          <w:gridAfter w:val="2"/>
          <w:wAfter w:w="143" w:type="dxa"/>
        </w:trPr>
        <w:tc>
          <w:tcPr>
            <w:tcW w:w="97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Кваліфікаційні вимоги </w:t>
            </w:r>
          </w:p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до професійної компетентності на посаду </w:t>
            </w:r>
            <w:r>
              <w:rPr>
                <w:sz w:val="26"/>
                <w:szCs w:val="26"/>
                <w:lang w:val="uk-UA"/>
              </w:rPr>
              <w:t xml:space="preserve">головного </w:t>
            </w:r>
            <w:r w:rsidRPr="002D2DDC">
              <w:rPr>
                <w:sz w:val="26"/>
                <w:szCs w:val="26"/>
                <w:lang w:val="uk-UA"/>
              </w:rPr>
              <w:t xml:space="preserve">спеціаліста відділу фінансування та звітності планово-фінансового управління </w:t>
            </w:r>
          </w:p>
        </w:tc>
      </w:tr>
      <w:tr w:rsidR="00A36204" w:rsidRPr="002D2DDC" w:rsidTr="009E5755">
        <w:trPr>
          <w:gridAfter w:val="2"/>
          <w:wAfter w:w="143" w:type="dxa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Вища освіта не нижче ступеня молодшого бакалавра або бакалавра, за спеціальністю економіка або фінанси, або бухгалтерський облік</w:t>
            </w:r>
          </w:p>
        </w:tc>
      </w:tr>
      <w:tr w:rsidR="00A36204" w:rsidRPr="002D2DDC" w:rsidTr="009E5755">
        <w:trPr>
          <w:gridAfter w:val="2"/>
          <w:wAfter w:w="143" w:type="dxa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Не потребує</w:t>
            </w:r>
          </w:p>
        </w:tc>
      </w:tr>
      <w:tr w:rsidR="00A36204" w:rsidRPr="002D2DDC" w:rsidTr="009E5755">
        <w:trPr>
          <w:gridAfter w:val="2"/>
          <w:wAfter w:w="143" w:type="dxa"/>
          <w:trHeight w:val="633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             Вільне </w:t>
            </w:r>
          </w:p>
        </w:tc>
      </w:tr>
      <w:tr w:rsidR="00A36204" w:rsidRPr="002D2DDC" w:rsidTr="009E5755">
        <w:trPr>
          <w:gridAfter w:val="2"/>
          <w:wAfter w:w="143" w:type="dxa"/>
        </w:trPr>
        <w:tc>
          <w:tcPr>
            <w:tcW w:w="97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Look w:val="04A0"/>
            </w:tblPr>
            <w:tblGrid>
              <w:gridCol w:w="3261"/>
              <w:gridCol w:w="845"/>
              <w:gridCol w:w="5517"/>
            </w:tblGrid>
            <w:tr w:rsidR="00A36204" w:rsidRPr="002D2DDC" w:rsidTr="009E5755">
              <w:tc>
                <w:tcPr>
                  <w:tcW w:w="4106" w:type="dxa"/>
                  <w:gridSpan w:val="2"/>
                </w:tcPr>
                <w:p w:rsidR="00A36204" w:rsidRPr="002D2DDC" w:rsidRDefault="00A36204" w:rsidP="009E5755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Вимога</w:t>
                  </w:r>
                </w:p>
              </w:tc>
              <w:tc>
                <w:tcPr>
                  <w:tcW w:w="5517" w:type="dxa"/>
                </w:tcPr>
                <w:p w:rsidR="00A36204" w:rsidRPr="002D2DDC" w:rsidRDefault="00A36204" w:rsidP="009E5755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A36204" w:rsidRPr="002D2DDC" w:rsidTr="009E5755">
              <w:tc>
                <w:tcPr>
                  <w:tcW w:w="3261" w:type="dxa"/>
                </w:tcPr>
                <w:p w:rsidR="00A36204" w:rsidRPr="002D2DDC" w:rsidRDefault="00A36204" w:rsidP="009E5755">
                  <w:pPr>
                    <w:pStyle w:val="rvps12"/>
                    <w:spacing w:before="150" w:beforeAutospacing="0" w:after="150" w:afterAutospacing="0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1. </w:t>
                  </w:r>
                  <w:r w:rsidRPr="002D2DDC">
                    <w:rPr>
                      <w:color w:val="000000"/>
                      <w:sz w:val="26"/>
                      <w:szCs w:val="26"/>
                      <w:lang w:val="uk-UA"/>
                    </w:rPr>
                    <w:t>Знання            сучасних інформаційних технологій</w:t>
                  </w:r>
                </w:p>
              </w:tc>
              <w:tc>
                <w:tcPr>
                  <w:tcW w:w="6362" w:type="dxa"/>
                  <w:gridSpan w:val="2"/>
                </w:tcPr>
                <w:p w:rsidR="00A36204" w:rsidRPr="002D2DDC" w:rsidRDefault="00A36204" w:rsidP="009E5755">
                  <w:pPr>
                    <w:pStyle w:val="rvps14"/>
                    <w:spacing w:before="150" w:beforeAutospacing="0" w:after="15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володіння комп’ютером - рівень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      </w:r>
                </w:p>
              </w:tc>
            </w:tr>
            <w:tr w:rsidR="00A36204" w:rsidRPr="002D2DDC" w:rsidTr="009E5755">
              <w:tc>
                <w:tcPr>
                  <w:tcW w:w="3261" w:type="dxa"/>
                </w:tcPr>
                <w:p w:rsidR="00A36204" w:rsidRPr="002D2DDC" w:rsidRDefault="00A36204" w:rsidP="009E5755">
                  <w:pPr>
                    <w:pStyle w:val="rvps12"/>
                    <w:spacing w:before="150" w:beforeAutospacing="0" w:after="15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2. Особистісні якості</w:t>
                  </w:r>
                </w:p>
              </w:tc>
              <w:tc>
                <w:tcPr>
                  <w:tcW w:w="6362" w:type="dxa"/>
                  <w:gridSpan w:val="2"/>
                </w:tcPr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1) відповідальність;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2) системність і самостійність в роботі;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3) уважність до деталей;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 xml:space="preserve">4) наполегливість; 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5) креативність та ініціативність;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6) орієнтація на саморозвиток;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Calibri"/>
                      <w:b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7) орієнтація на обслуговування;</w:t>
                  </w: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8) вміння працювати в стресових ситуаціях</w:t>
                  </w:r>
                </w:p>
              </w:tc>
            </w:tr>
          </w:tbl>
          <w:p w:rsidR="00A36204" w:rsidRPr="002D2DDC" w:rsidRDefault="00A3620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A36204" w:rsidRPr="002D2DDC" w:rsidTr="009E5755">
        <w:trPr>
          <w:gridAfter w:val="1"/>
          <w:wAfter w:w="49" w:type="dxa"/>
        </w:trPr>
        <w:tc>
          <w:tcPr>
            <w:tcW w:w="98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 xml:space="preserve">Професійні знання </w:t>
            </w:r>
          </w:p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tbl>
            <w:tblPr>
              <w:tblW w:w="9815" w:type="dxa"/>
              <w:tblLook w:val="04A0"/>
            </w:tblPr>
            <w:tblGrid>
              <w:gridCol w:w="3261"/>
              <w:gridCol w:w="141"/>
              <w:gridCol w:w="562"/>
              <w:gridCol w:w="5851"/>
            </w:tblGrid>
            <w:tr w:rsidR="00A36204" w:rsidRPr="002D2DDC" w:rsidTr="009E5755">
              <w:tc>
                <w:tcPr>
                  <w:tcW w:w="3964" w:type="dxa"/>
                  <w:gridSpan w:val="3"/>
                </w:tcPr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sz w:val="26"/>
                      <w:szCs w:val="26"/>
                      <w:lang w:val="uk-UA"/>
                    </w:rPr>
                    <w:t xml:space="preserve">1. </w:t>
                  </w: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1" w:type="dxa"/>
                </w:tcPr>
                <w:p w:rsidR="00A36204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Конституція України; закони України «Про місцеві державні адміністрації», «Про державну службу», «Про запобігання корупції» інші нормативні акти згідно Закону України «Про державну службу»</w:t>
                  </w:r>
                </w:p>
                <w:p w:rsidR="00A36204" w:rsidRPr="002D2DDC" w:rsidRDefault="00A36204" w:rsidP="00A362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A36204" w:rsidRPr="002D2DDC" w:rsidTr="009E5755">
              <w:tc>
                <w:tcPr>
                  <w:tcW w:w="3402" w:type="dxa"/>
                  <w:gridSpan w:val="2"/>
                </w:tcPr>
                <w:p w:rsidR="00A36204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</w:p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2. </w:t>
                  </w:r>
                  <w:r w:rsidRPr="002D2DDC">
                    <w:rPr>
                      <w:rFonts w:eastAsia="Calibri"/>
                      <w:color w:val="000000"/>
                      <w:sz w:val="26"/>
                      <w:szCs w:val="26"/>
                      <w:lang w:val="uk-UA"/>
                    </w:rPr>
                    <w:t xml:space="preserve">Знання спеціального законодавства, що пов'язане із завданнями та змістом роботи державного службовця відповідно до </w:t>
                  </w:r>
                  <w:r w:rsidRPr="002D2DDC">
                    <w:rPr>
                      <w:rFonts w:eastAsia="Calibri"/>
                      <w:color w:val="000000"/>
                      <w:sz w:val="26"/>
                      <w:szCs w:val="26"/>
                      <w:lang w:val="uk-UA"/>
                    </w:rPr>
                    <w:lastRenderedPageBreak/>
                    <w:t>посадової інструкції (положення про структурний підрозділ</w:t>
                  </w:r>
                </w:p>
              </w:tc>
              <w:tc>
                <w:tcPr>
                  <w:tcW w:w="6413" w:type="dxa"/>
                  <w:gridSpan w:val="2"/>
                </w:tcPr>
                <w:p w:rsidR="00A36204" w:rsidRPr="002D2DDC" w:rsidRDefault="00A36204" w:rsidP="009E5755">
                  <w:pPr>
                    <w:pStyle w:val="a5"/>
                    <w:ind w:firstLine="0"/>
                    <w:jc w:val="both"/>
                    <w:rPr>
                      <w:rFonts w:ascii="Times New Roman" w:hAnsi="Times New Roman"/>
                      <w:szCs w:val="26"/>
                    </w:rPr>
                  </w:pPr>
                  <w:r w:rsidRPr="002D2DDC">
                    <w:rPr>
                      <w:rFonts w:ascii="Times New Roman" w:hAnsi="Times New Roman"/>
                      <w:szCs w:val="26"/>
                    </w:rPr>
                    <w:lastRenderedPageBreak/>
                    <w:t xml:space="preserve">Закон України «Про доступ до публічної інформації», Бюджетний кодекс України, постанови Кабінету Міністрів України від 28.08.2002 № 228 «Про затвердження Прядку складання, розгляду, затвердження на основних вимог до виконання </w:t>
                  </w:r>
                  <w:r w:rsidRPr="002D2DDC">
                    <w:rPr>
                      <w:rFonts w:ascii="Times New Roman" w:hAnsi="Times New Roman"/>
                      <w:szCs w:val="26"/>
                    </w:rPr>
                    <w:lastRenderedPageBreak/>
                    <w:t>кошторисів бюджетних установ», від 27.12.2001 № 1764 «Про затвердження Порядку державного фінансування капітального будівництва», від 23.04.2014 № 117 «Про здійснення попередньої оплати товарів, робіт і послуг, що закуповуються за бюджетні кошти» та інші нормативні документи, накази Міністерства фінансів України від 28.01.2002 № 57 «Про затвердження документів, що застосовуються в процесі виконання бюджету».</w:t>
                  </w:r>
                </w:p>
                <w:p w:rsidR="00A36204" w:rsidRPr="002D2DDC" w:rsidRDefault="00A36204" w:rsidP="009E5755">
                  <w:pPr>
                    <w:pStyle w:val="a5"/>
                    <w:ind w:firstLine="0"/>
                    <w:jc w:val="both"/>
                    <w:rPr>
                      <w:szCs w:val="26"/>
                    </w:rPr>
                  </w:pPr>
                </w:p>
              </w:tc>
            </w:tr>
            <w:tr w:rsidR="00A36204" w:rsidRPr="002D2DDC" w:rsidTr="009E5755">
              <w:tc>
                <w:tcPr>
                  <w:tcW w:w="3261" w:type="dxa"/>
                </w:tcPr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3. </w:t>
                  </w:r>
                  <w:r w:rsidRPr="002D2DDC">
                    <w:rPr>
                      <w:rFonts w:eastAsia="Calibri"/>
                      <w:sz w:val="26"/>
                      <w:szCs w:val="26"/>
                      <w:lang w:val="uk-UA"/>
                    </w:rPr>
                    <w:t>Професійні чи технічні знання</w:t>
                  </w:r>
                </w:p>
              </w:tc>
              <w:tc>
                <w:tcPr>
                  <w:tcW w:w="6554" w:type="dxa"/>
                  <w:gridSpan w:val="3"/>
                </w:tcPr>
                <w:p w:rsidR="00A36204" w:rsidRPr="002D2DDC" w:rsidRDefault="00A3620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sz w:val="26"/>
                      <w:szCs w:val="26"/>
                      <w:lang w:val="uk-UA"/>
                    </w:rPr>
                  </w:pPr>
                  <w:r w:rsidRPr="002D2DDC">
                    <w:rPr>
                      <w:sz w:val="26"/>
                      <w:szCs w:val="26"/>
                      <w:lang w:val="uk-UA"/>
                    </w:rPr>
                    <w:t>Знання фінансування у бюджетній сфері знання та дотримання вимог діючого законодавства за напрямками роботи відділу; правила та норми охорони праці та протипожежного захисту</w:t>
                  </w:r>
                  <w:r>
                    <w:rPr>
                      <w:sz w:val="26"/>
                      <w:szCs w:val="26"/>
                      <w:lang w:val="uk-UA"/>
                    </w:rPr>
                    <w:t>, бухгалтерський облік</w:t>
                  </w:r>
                </w:p>
              </w:tc>
            </w:tr>
          </w:tbl>
          <w:p w:rsidR="00A36204" w:rsidRPr="002D2DDC" w:rsidRDefault="00A3620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A36204" w:rsidRPr="002D2DDC" w:rsidRDefault="00A36204" w:rsidP="00A3620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p w:rsidR="00A36204" w:rsidRPr="002D2DDC" w:rsidRDefault="00A36204" w:rsidP="00A3620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</w:p>
    <w:p w:rsidR="00347A4D" w:rsidRPr="00A36204" w:rsidRDefault="00347A4D" w:rsidP="00A36204">
      <w:pPr>
        <w:rPr>
          <w:lang w:val="uk-UA"/>
        </w:rPr>
      </w:pPr>
    </w:p>
    <w:sectPr w:rsidR="00347A4D" w:rsidRPr="00A36204" w:rsidSect="0025769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986" w:rsidRDefault="00007986" w:rsidP="00257696">
      <w:r>
        <w:separator/>
      </w:r>
    </w:p>
  </w:endnote>
  <w:endnote w:type="continuationSeparator" w:id="0">
    <w:p w:rsidR="00007986" w:rsidRDefault="00007986" w:rsidP="00257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986" w:rsidRDefault="00007986" w:rsidP="00257696">
      <w:r>
        <w:separator/>
      </w:r>
    </w:p>
  </w:footnote>
  <w:footnote w:type="continuationSeparator" w:id="0">
    <w:p w:rsidR="00007986" w:rsidRDefault="00007986" w:rsidP="00257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55"/>
      <w:docPartObj>
        <w:docPartGallery w:val="Page Numbers (Top of Page)"/>
        <w:docPartUnique/>
      </w:docPartObj>
    </w:sdtPr>
    <w:sdtContent>
      <w:p w:rsidR="00257696" w:rsidRDefault="003A3190">
        <w:pPr>
          <w:pStyle w:val="a6"/>
          <w:jc w:val="center"/>
        </w:pPr>
        <w:fldSimple w:instr=" PAGE   \* MERGEFORMAT ">
          <w:r w:rsidR="00A36204">
            <w:rPr>
              <w:noProof/>
            </w:rPr>
            <w:t>3</w:t>
          </w:r>
        </w:fldSimple>
      </w:p>
    </w:sdtContent>
  </w:sdt>
  <w:p w:rsidR="00257696" w:rsidRDefault="0025769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696"/>
    <w:rsid w:val="00007986"/>
    <w:rsid w:val="00257696"/>
    <w:rsid w:val="00347A4D"/>
    <w:rsid w:val="003A3190"/>
    <w:rsid w:val="00A36204"/>
    <w:rsid w:val="00B5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57696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5769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7">
    <w:name w:val="rvps7"/>
    <w:basedOn w:val="a"/>
    <w:rsid w:val="00257696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57696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257696"/>
    <w:pPr>
      <w:spacing w:before="100" w:beforeAutospacing="1" w:after="100" w:afterAutospacing="1"/>
    </w:pPr>
  </w:style>
  <w:style w:type="character" w:styleId="a3">
    <w:name w:val="Hyperlink"/>
    <w:basedOn w:val="a0"/>
    <w:rsid w:val="00257696"/>
    <w:rPr>
      <w:color w:val="0000FF"/>
      <w:u w:val="single"/>
    </w:rPr>
  </w:style>
  <w:style w:type="character" w:styleId="a4">
    <w:name w:val="Strong"/>
    <w:qFormat/>
    <w:rsid w:val="00257696"/>
    <w:rPr>
      <w:b/>
      <w:bCs/>
    </w:rPr>
  </w:style>
  <w:style w:type="paragraph" w:customStyle="1" w:styleId="rvps2">
    <w:name w:val="rvps2"/>
    <w:basedOn w:val="a"/>
    <w:rsid w:val="00257696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25769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link w:val="a7"/>
    <w:uiPriority w:val="99"/>
    <w:unhideWhenUsed/>
    <w:rsid w:val="002576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7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576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76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2018-02-13T14:05:00Z</dcterms:created>
  <dcterms:modified xsi:type="dcterms:W3CDTF">2018-03-26T09:57:00Z</dcterms:modified>
</cp:coreProperties>
</file>